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pPr>
            <w:r>
              <w:rPr>
                <w:rFonts w:ascii="Aptos Display" w:hAnsi="Aptos Display"/>
                <w:b/>
                <w:color w:val="FFFFFF"/>
                <w:sz w:val="40"/>
              </w:rPr>
              <w:t>FUNCTIONAL REQUIREMENTS DOCUMENT</w:t>
              <w:br/>
              <w:t>Module 19: Finance &amp; Accounting</w:t>
              <w:br/>
              <w:t>XVision Systems | Code-aligned functional baseline</w:t>
              <w:br/>
              <w:t>Prepared by: CodeX Team     Version: 1.10</w:t>
            </w:r>
          </w:p>
          <w:p w14:paraId="4FAAA466" w14:textId="77777777" w:rsidR="00A62A3E" w:rsidRDefault="00000000">
            <w:pPr>
              <w:spacing w:after="100"/>
            </w:pPr>
            <w:r>
              <w:rPr>
                <w:rFonts w:ascii="Aptos Display" w:hAnsi="Aptos Display"/>
                <w:b/>
                <w:color w:val="FFFFFF"/>
                <w:sz w:val="28"/>
              </w:rPr>
            </w:r>
          </w:p>
          <w:p w14:paraId="6071B59E" w14:textId="77777777" w:rsidR="00A62A3E" w:rsidRDefault="00000000">
            <w:pPr>
              <w:spacing w:after="180"/>
            </w:pPr>
            <w:r>
              <w:rPr>
                <w:color w:val="FFFFFF"/>
                <w:sz w:val="20"/>
              </w:rPr>
            </w:r>
          </w:p>
          <w:p w14:paraId="05516311" w14:textId="77777777" w:rsidR="00A62A3E" w:rsidRDefault="00000000">
            <w:pPr>
              <w:spacing w:after="0"/>
            </w:pPr>
            <w:r>
              <w:rPr>
                <w:b/>
                <w:color w:val="FFFFFF"/>
                <w:sz w:val="19"/>
              </w:rPr>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14:paraId="5020320F"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708756AF"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E2D3D5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9829C6" w14:textId="77777777" w:rsidR="00A62A3E" w:rsidRDefault="00000000">
            <w:pPr>
              <w:spacing w:after="0"/>
            </w:pPr>
            <w:r>
              <w:rPr>
                <w:color w:val="000000"/>
                <w:sz w:val="17"/>
              </w:rPr>
              <w:t>Functional Requirements Document (FRD)</w:t>
            </w:r>
          </w:p>
        </w:tc>
      </w:tr>
      <w:tr w:rsidR="00A62A3E" w14:paraId="1CB7431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57BE7"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3EF7DA" w14:textId="77777777" w:rsidR="00A62A3E" w:rsidRDefault="00000000">
            <w:pPr>
              <w:spacing w:after="0"/>
            </w:pPr>
            <w:r>
              <w:rPr>
                <w:color w:val="000000"/>
                <w:sz w:val="17"/>
              </w:rPr>
              <w:t>M19 | Finance &amp; Accounting</w:t>
            </w:r>
          </w:p>
        </w:tc>
      </w:tr>
      <w:tr w:rsidR="00A62A3E" w14:paraId="4A6C5C17"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D9645A4"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8FA6E75" w14:textId="77777777" w:rsidR="00A62A3E" w:rsidRDefault="00000000">
            <w:pPr>
              <w:spacing w:after="0" w:before="0" w:line="240" w:lineRule="auto"/>
              <w:jc w:val="left"/>
            </w:pPr>
            <w:r>
              <w:rPr>
                <w:rFonts w:ascii="Aptos Narrow" w:hAnsi="Aptos Narrow"/>
                <w:b w:val="0"/>
                <w:color w:val="000000"/>
                <w:sz w:val="18"/>
              </w:rPr>
              <w:t>1.10</w:t>
            </w:r>
          </w:p>
        </w:tc>
      </w:tr>
      <w:tr w:rsidR="00A62A3E" w14:paraId="04BF5F7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A15B32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6D879080" w14:textId="77777777" w:rsidR="00A62A3E" w:rsidRDefault="00000000">
            <w:pPr>
              <w:spacing w:after="0" w:before="0" w:line="240" w:lineRule="auto"/>
              <w:jc w:val="left"/>
            </w:pPr>
            <w:r>
              <w:rPr>
                <w:rFonts w:ascii="Aptos Narrow" w:hAnsi="Aptos Narrow"/>
                <w:b w:val="0"/>
                <w:color w:val="000000"/>
                <w:sz w:val="18"/>
              </w:rPr>
              <w:t>13 September 2026</w:t>
            </w:r>
          </w:p>
        </w:tc>
      </w:tr>
      <w:tr w:rsidR="00A62A3E" w14:paraId="07F4B091"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CBDE6FE"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5C536FCB" w14:textId="77777777" w:rsidR="00A62A3E" w:rsidRDefault="00000000">
            <w:pPr>
              <w:spacing w:after="0" w:before="0" w:line="240" w:lineRule="auto"/>
              <w:jc w:val="left"/>
            </w:pPr>
            <w:r>
              <w:rPr>
                <w:rFonts w:ascii="Aptos Narrow" w:hAnsi="Aptos Narrow"/>
                <w:b w:val="0"/>
                <w:color w:val="000000"/>
                <w:sz w:val="18"/>
              </w:rPr>
              <w:t>Backend worktree implementing embedded approval decision details, 13 September 2026</w:t>
            </w:r>
          </w:p>
        </w:tc>
      </w:tr>
      <w:tr w:rsidR="00A62A3E" w14:paraId="002FA76B"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1265AC7"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14:paraId="477575A9" w14:textId="77777777" w:rsidR="00A62A3E" w:rsidRDefault="00000000">
            <w:pPr>
              <w:spacing w:after="0" w:before="0" w:line="240" w:lineRule="auto"/>
              <w:jc w:val="left"/>
            </w:pPr>
            <w:r>
              <w:rPr>
                <w:rFonts w:ascii="Aptos Narrow" w:hAnsi="Aptos Narrow"/>
                <w:b w:val="0"/>
                <w:color w:val="000000"/>
                <w:sz w:val="18"/>
              </w:rPr>
              <w:t>XVS Module Requirements Document v2.81</w:t>
            </w:r>
          </w:p>
        </w:tc>
      </w:tr>
      <w:tr w:rsidR="00A62A3E" w14:paraId="568E0EB5"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F36713D"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A301F0" w14:textId="77777777" w:rsidR="00A62A3E" w:rsidRDefault="00000000">
            <w:pPr>
              <w:spacing w:after="0"/>
            </w:pPr>
            <w:r>
              <w:rPr>
                <w:color w:val="000000"/>
                <w:sz w:val="17"/>
              </w:rPr>
              <w:t>vs_finance</w:t>
            </w:r>
          </w:p>
        </w:tc>
      </w:tr>
      <w:tr w:rsidR="00A62A3E" w14:paraId="7C13A4F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D70A46"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B1F513" w14:textId="77777777" w:rsidR="00A62A3E" w:rsidRDefault="00000000">
            <w:pPr>
              <w:spacing w:after="0"/>
            </w:pPr>
            <w:r>
              <w:rPr>
                <w:color w:val="000000"/>
                <w:sz w:val="17"/>
              </w:rPr>
              <w:t xml:space="preserve">vs_tenants, vs_rbac, vs_config, vs_audit, vs_workflow, vs_exports, vs_import_data; consumed by vs_payments and vs_procurement</w:t>
            </w:r>
          </w:p>
        </w:tc>
      </w:tr>
      <w:tr w:rsidR="00A62A3E" w14:paraId="2ADF563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8AD0B2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276AB" w14:textId="77777777" w:rsidR="00A62A3E" w:rsidRDefault="00000000">
            <w:pPr>
              <w:spacing w:after="0"/>
            </w:pPr>
            <w:r>
              <w:rPr>
                <w:color w:val="000000"/>
                <w:sz w:val="17"/>
              </w:rPr>
              <w:t>Code-aligned baseline for Product and Engineering review</w:t>
            </w:r>
          </w:p>
        </w:tc>
      </w:tr>
      <w:tr w:rsidR="00A62A3E" w14:paraId="6528EEB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4FC2D03"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7B789" w14:textId="77777777" w:rsidR="00A62A3E" w:rsidRDefault="00000000">
            <w:pPr>
              <w:spacing w:after="0"/>
            </w:pPr>
            <w:r>
              <w:rPr>
                <w:color w:val="000000"/>
                <w:sz w:val="17"/>
              </w:rPr>
              <w:t>CodeX Team</w:t>
            </w:r>
          </w:p>
        </w:tc>
      </w:tr>
      <w:tr w:rsidR="00A62A3E" w14:paraId="732C6AAC"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E5BBF0B" w14:textId="77777777" w:rsidR="00A62A3E" w:rsidRDefault="00000000">
            <w:r>
              <w:rPr>
                <w:b/>
                <w:color w:val="355B9D"/>
              </w:rPr>
              <w:t>EVIDENCE BOUNDARY</w:t>
            </w:r>
          </w:p>
          <w:p w14:paraId="50BD08E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F0B3BCA" w14:textId="77777777" w:rsidR="00A62A3E" w:rsidRDefault="00000000">
            <w:pPr>
              <w:spacing w:after="40"/>
            </w:pPr>
            <w:r>
              <w:rPr>
                <w:color w:val="000000"/>
                <w:sz w:val="17"/>
              </w:rPr>
              <w:t>• Partial, Defective, and Not implemented items are current requirements and risks, not historical notes.</w:t>
            </w:r>
          </w:p>
          <w:p w14:paraId="6D01A539" w14:textId="77777777" w:rsidR="00A62A3E" w:rsidRDefault="00000000">
            <w:pPr>
              <w:spacing w:after="40"/>
            </w:pPr>
            <w:r>
              <w:rPr>
                <w:color w:val="000000"/>
                <w:sz w:val="17"/>
              </w:rPr>
              <w:t>• The MRD and this FRD have independent versions. A change can require one or both documents to advance.</w:t>
            </w:r>
          </w:p>
        </w:tc>
      </w:tr>
    </w:tbl>
    <w:p w14:paraId="0A054924" w14:textId="77777777" w:rsidR="00A62A3E" w:rsidRDefault="00000000">
      <w:r>
        <w:br w:type="page"/>
      </w:r>
    </w:p>
    <w:p w14:paraId="07D398E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07F4D2CE"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9DEA46"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317225" w14:textId="77777777" w:rsidR="00A62A3E" w:rsidRDefault="00000000">
            <w:pPr>
              <w:spacing w:after="0"/>
            </w:pPr>
            <w:r>
              <w:rPr>
                <w:b/>
                <w:color w:val="FFFFFF"/>
                <w:sz w:val="17"/>
              </w:rPr>
              <w:t>Purpose</w:t>
            </w:r>
          </w:p>
        </w:tc>
      </w:tr>
      <w:tr w:rsidR="00A62A3E" w14:paraId="134041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47E8C0"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8E545" w14:textId="77777777" w:rsidR="00A62A3E" w:rsidRDefault="00000000">
            <w:pPr>
              <w:spacing w:after="0"/>
            </w:pPr>
            <w:r>
              <w:rPr>
                <w:color w:val="000000"/>
                <w:sz w:val="17"/>
              </w:rPr>
              <w:t>Version, ownership, source baseline, and evidence rules</w:t>
            </w:r>
          </w:p>
        </w:tc>
      </w:tr>
      <w:tr w:rsidR="00A62A3E" w14:paraId="045D0D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1F0AD3"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EF0343" w14:textId="77777777" w:rsidR="00A62A3E" w:rsidRDefault="00000000">
            <w:pPr>
              <w:spacing w:after="0"/>
            </w:pPr>
            <w:r>
              <w:rPr>
                <w:color w:val="000000"/>
                <w:sz w:val="17"/>
              </w:rPr>
              <w:t>The ledger's responsibility, and what billing and adjustments own instead</w:t>
            </w:r>
          </w:p>
        </w:tc>
      </w:tr>
      <w:tr w:rsidR="00A62A3E" w14:paraId="672CD52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D25B4"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C1134" w14:textId="77777777" w:rsidR="00A62A3E" w:rsidRDefault="00000000">
            <w:pPr>
              <w:spacing w:after="0"/>
            </w:pPr>
            <w:r>
              <w:rPr>
                <w:color w:val="000000"/>
                <w:sz w:val="17"/>
              </w:rPr>
              <w:t xml:space="preserve">Where postings are guarded, money units, branch scope inside an entity, and requirement states</w:t>
            </w:r>
          </w:p>
        </w:tc>
      </w:tr>
      <w:tr w:rsidR="00A62A3E" w14:paraId="7ED41ED9"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DFB0A1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C01AE1" w14:textId="77777777" w:rsidR="00A62A3E" w:rsidRDefault="00000000">
            <w:pPr>
              <w:spacing w:after="0"/>
            </w:pPr>
            <w:r>
              <w:rPr>
                <w:color w:val="000000"/>
                <w:sz w:val="17"/>
              </w:rPr>
              <w:t>Who may post, close, reconcile, and read the books</w:t>
            </w:r>
          </w:p>
        </w:tc>
      </w:tr>
      <w:tr w:rsidR="00A62A3E" w14:paraId="069AF74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0675D"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7A3047" w14:textId="77777777" w:rsidR="00A62A3E" w:rsidRDefault="00000000">
            <w:pPr>
              <w:spacing w:after="0"/>
            </w:pPr>
            <w:r>
              <w:rPr>
                <w:color w:val="000000"/>
                <w:sz w:val="17"/>
              </w:rPr>
              <w:t>Testable behaviour, current evidence, acceptance, and limits</w:t>
            </w:r>
          </w:p>
        </w:tc>
      </w:tr>
      <w:tr w:rsidR="00A62A3E" w14:paraId="1ED4D9E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E00D8"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4316F6" w14:textId="77777777" w:rsidR="00A62A3E" w:rsidRDefault="00000000">
            <w:pPr>
              <w:spacing w:after="0"/>
            </w:pPr>
            <w:r>
              <w:rPr>
                <w:color w:val="000000"/>
                <w:sz w:val="17"/>
              </w:rPr>
              <w:t xml:space="preserve">Journal, period and sub-cycle lifecycles, and where a document's branch comes from</w:t>
            </w:r>
          </w:p>
        </w:tc>
      </w:tr>
      <w:tr w:rsidR="00A62A3E" w14:paraId="0317AD6E"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B91B8F"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31B35" w14:textId="77777777" w:rsidR="00A62A3E" w:rsidRDefault="00000000">
            <w:pPr>
              <w:spacing w:after="0"/>
            </w:pPr>
            <w:r>
              <w:rPr>
                <w:color w:val="000000"/>
                <w:sz w:val="17"/>
              </w:rPr>
              <w:t>Persisted ledger records and their control accounts</w:t>
            </w:r>
          </w:p>
        </w:tc>
      </w:tr>
      <w:tr w:rsidR="00A62A3E" w14:paraId="4AB6E96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64FB06"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2FEF983" w14:textId="77777777" w:rsidR="00A62A3E" w:rsidRDefault="00000000">
            <w:pPr>
              <w:spacing w:after="0"/>
            </w:pPr>
            <w:r>
              <w:rPr>
                <w:color w:val="000000"/>
                <w:sz w:val="17"/>
              </w:rPr>
              <w:t>Routes, purposes, and typed errors</w:t>
            </w:r>
          </w:p>
        </w:tc>
      </w:tr>
      <w:tr w:rsidR="00A62A3E" w14:paraId="543A6AB0"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449CA"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2FA785" w14:textId="77777777" w:rsidR="00A62A3E" w:rsidRDefault="00000000">
            <w:pPr>
              <w:spacing w:after="0"/>
            </w:pPr>
            <w:r>
              <w:rPr>
                <w:color w:val="000000"/>
                <w:sz w:val="17"/>
              </w:rPr>
              <w:t>Tenancy, approval, import, export, and consumer contracts</w:t>
            </w:r>
          </w:p>
        </w:tc>
      </w:tr>
      <w:tr w:rsidR="00A62A3E" w14:paraId="7A915477"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1BC5D1"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80C1A3" w14:textId="77777777" w:rsidR="00A62A3E" w:rsidRDefault="00000000">
            <w:pPr>
              <w:spacing w:after="0"/>
            </w:pPr>
            <w:r>
              <w:rPr>
                <w:color w:val="000000"/>
                <w:sz w:val="17"/>
              </w:rPr>
              <w:t>Current risks and required completion</w:t>
            </w:r>
          </w:p>
        </w:tc>
      </w:tr>
      <w:tr w:rsidR="00A62A3E" w14:paraId="42B7F5B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259A9"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6689C" w14:textId="77777777" w:rsidR="00A62A3E" w:rsidRDefault="00000000">
            <w:pPr>
              <w:spacing w:after="0"/>
            </w:pPr>
            <w:r>
              <w:rPr>
                <w:color w:val="000000"/>
                <w:sz w:val="17"/>
              </w:rPr>
              <w:t>Module 19 capability mapping</w:t>
            </w:r>
          </w:p>
        </w:tc>
      </w:tr>
      <w:tr w:rsidR="00A62A3E" w14:paraId="67BB0D7C"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9A361"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DD816D" w14:textId="77777777" w:rsidR="00A62A3E" w:rsidRDefault="00000000">
            <w:pPr>
              <w:spacing w:after="0"/>
            </w:pPr>
            <w:r>
              <w:rPr>
                <w:color w:val="000000"/>
                <w:sz w:val="17"/>
              </w:rPr>
              <w:t>Independent FRD revision history</w:t>
            </w:r>
          </w:p>
        </w:tc>
      </w:tr>
    </w:tbl>
    <w:p w14:paraId="5F49CB47" w14:textId="77777777" w:rsidR="00A62A3E" w:rsidRDefault="00000000">
      <w:r>
        <w:br w:type="page"/>
      </w:r>
    </w:p>
    <w:p w:rsidR="00A62A3E" w:rsidRDefault="00000000">
      <w:pPr>
        <w:pStyle w:val="Heading1"/>
        <w:keepNext/>
        <w:pBdr>
          <w:bottom w:val="single" w:sz="14" w:space="5" w:color="355B9D"/>
        </w:pBdr>
      </w:pPr>
      <w:r>
        <w:t>1. Purpose and Scope</w:t>
      </w:r>
    </w:p>
    <w:p w:rsidR="00A62A3E" w:rsidRDefault="00000000">
      <w:pPr>
        <w:spacing w:after="120"/>
      </w:pPr>
      <w:r>
        <w:t xml:space="preserve">Module 19 is the double-entry ledger every other money module posts through. It owns the chart of accounts, the calendar of periods, the act of posting a journal, and the reports read back off it. It also owns the cycles that end in a journal of their own: banking, expense claims, petty cash, payroll, tax remittance, budgets, and fixed assets. Its central promise is that a posting either satisfies every rule or does not happen.</w:t>
      </w:r>
    </w:p>
    <w:p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Responsibility</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Ledger foundations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Ledger entities and their books, the chart of accounts, cost centres, reporting dimensions, currencies, FX rates, and tax codes.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Calendar and posting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Fiscal years, periods, the posting window, journals, direct entries, reversal, and the guards every posting passes.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Period close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pre-close checklist, the auto-entries a close must post, and the four-state lock from open to locked.</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Reporting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Trial balance, income statement, balance sheet, cash flow, changes in equity, the statutory pack, analytics slices, and the dashboard.</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 accounts, statement import, matching, split and group matches, adjusting journals, and reconciliation completion.</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Spend cycles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Expense claims and petty cash, each recognising a liability on posting and clearing it on settlement.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Payroll and tax</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accrue-then-disburse payroll cycle, and the filings that drain the statutory liability control accounts.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Budgets and assets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 plans with an approval lock and variance reporting, and fixed assets with straight-line depreciation and disposal.</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Evidence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finance audit trail, its facets, and the exports built off it.</w:t>
            </w:r>
          </w:p>
        </w:tc>
      </w:tr>
    </w:tbl>
    <w:p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Owner</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Customers, invoices, receipts, dunning, and payment plans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17, Billing &amp; Invoicing. It is a separate module built on the same application; the ledger receives its postings.</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Credit notes, refunds, write-offs, concessions, and batch adjustments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20, Adjustments &amp; Concessions, likewise inside this application.</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Talking to a payment provider</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18, Payments &amp; Collections. A confirmed gateway movement books here; the provider conversation does not happen here.</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Vendors, purchase orders, and accounts payable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Modules 21 to 23. They post through this ledger, and the AP and GR/IR reconciliations live there, which is why period close accepts them as extra checks rather than importing procurement.</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Who must approve a journal</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 where a template is published for the document type.</w:t>
            </w:r>
          </w:p>
        </w:tc>
      </w:tr>
    </w:tbl>
    <w:p w:rsidR="00A62A3E" w:rsidRDefault="00000000">
      <w:pPr>
        <w:pStyle w:val="Heading1"/>
        <w:keepNext/>
        <w:pBdr>
          <w:bottom w:val="single" w:sz="14" w:space="5" w:color="355B9D"/>
        </w:pBdr>
      </w:pPr>
      <w:r>
        <w:t>2. Context and Status Model</w:t>
      </w:r>
    </w:p>
    <w:p w:rsidR="00A62A3E" w:rsidRDefault="00000000">
      <w:pPr>
        <w:spacing w:after="120"/>
      </w:pPr>
      <w:r>
        <w:t xml:space="preserve">The rule the engine is built around is that business rules are enforced where journals are posted, not in the screens. A request that bypasses the interface entirely, through the API, a script, or a webhook, must still be unable to post into a closed period or write an unbalanced entry. Every posting in the platform, including those raised by payments and procurement, passes the same guards.</w:t>
      </w:r>
    </w:p>
    <w:p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stated behaviour is present in the inspected backend code and exercised by its tests.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behaviour exists and is usable, but a stated boundary applies.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 of the requirement is present; the rest is named in Section 9.</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backend evidence was found for the stated behaviour.</w:t>
            </w:r>
          </w:p>
        </w:tc>
      </w:tr>
    </w:tbl>
    <w:p w:rsidR="00A62A3E" w:rsidRDefault="00000000">
      <w:pPr>
        <w:pStyle w:val="Heading2"/>
        <w:keepNext/>
        <w:pBdr>
          <w:bottom w:val="single" w:sz="8" w:space="5" w:color="355B9D"/>
        </w:pBdr>
      </w:pPr>
      <w:r>
        <w:t>2.2 Money and Dates</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rsidR="00A62A3E" w:rsidRDefault="00000000">
            <w:pPr>
              <w:keepNext/>
              <w:spacing w:after="40"/>
            </w:pPr>
            <w:r>
              <w:rPr>
                <w:b/>
                <w:color w:val="1F4E9C"/>
                <w:sz w:val="17"/>
              </w:rPr>
              <w:t>TWO NON-NEGOTIABLES</w:t>
            </w:r>
          </w:p>
          <w:p w:rsidR="00A62A3E" w:rsidRDefault="00000000">
            <w:pPr>
              <w:spacing w:after="20"/>
              <w:ind w:left="86" w:hanging="86"/>
            </w:pPr>
            <w:r>
              <w:rPr>
                <w:sz w:val="16"/>
              </w:rPr>
              <w:t xml:space="preserve">• Money is an integer number of minor units (kobo) everywhere. Floats cannot represent decimal currency exactly, so they never touch a balance, a journal line, a price, or a tax computation. Conversion happens once, at the API boundary.</w:t>
            </w:r>
          </w:p>
          <w:p w:rsidR="00A62A3E" w:rsidRDefault="00000000">
            <w:pPr>
              <w:spacing w:after="20"/>
              <w:ind w:left="86" w:hanging="86"/>
            </w:pPr>
            <w:r>
              <w:rPr>
                <w:sz w:val="16"/>
              </w:rPr>
              <w:t xml:space="preserve">• There are two notions of when: the real time a row was entered, and the accounting date the user chose for the movement. Guards validate against the state as at the accounting date, not as at now, because those two disagree the moment a date is backdated.</w:t>
            </w:r>
          </w:p>
        </w:tc>
      </w:tr>
    </w:tbl>
    <w:p w:rsidR="00A62A3E" w:rsidRDefault="00000000">
      <w:pPr>
        <w:pStyle w:val="Heading2"/>
        <w:keepNext/>
        <w:pBdr>
          <w:bottom w:val="single" w:sz="8" w:space="5" w:color="355B9D"/>
        </w:pBdr>
      </w:pPr>
      <w:r>
        <w:t xml:space="preserve">2.3 Branch Scope Inside an Entity</w:t>
      </w:r>
    </w:p>
    <w:p w:rsidR="00A62A3E" w:rsidRDefault="00000000">
      <w:pPr>
        <w:spacing w:after="120"/>
      </w:pPr>
      <w:r>
        <w:t xml:space="preserve">The entity is the outer boundary and nothing crosses it. Inside one entity a second, finer dimension applies: the branch a row belongs to. Which branches a caller may work in is resolved from their role grants alone, by the same function that decides whether they may open the screen at all, so 'may I?' and 'whose rows, then?' cannot give different answers. A grant made for the whole school reaches every branch; a grant pinned to branches reaches those while they are in service; and the branch on a staff record is a home posting that decides only for somebody who holds no grants at all. A caller nothing narrows is not filtered, so a school that has never pinned a grant to a branch, and a school with a single branch, are unaffected.</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rsidR="00A62A3E" w:rsidRDefault="00000000">
            <w:pPr>
              <w:keepNext/>
              <w:spacing w:after="40"/>
            </w:pPr>
            <w:r>
              <w:rPr>
                <w:b/>
                <w:color w:val="1F4E9C"/>
                <w:sz w:val="17"/>
              </w:rPr>
              <w:t xml:space="preserve">THE NULL BRANCH, AND WHY PROCUREMENT READS IT DIFFERENTLY</w:t>
            </w:r>
          </w:p>
          <w:p w:rsidR="00A62A3E" w:rsidRDefault="00000000">
            <w:pPr>
              <w:spacing w:after="20"/>
              <w:ind w:left="86" w:hanging="86"/>
            </w:pPr>
            <w:r>
              <w:rPr>
                <w:sz w:val="16"/>
              </w:rPr>
              <w:t xml:space="preserve">• A branch column left empty does not mean 'not set yet'. It means shared across the school, and it is a first-class value: a fee structure published once for every branch, the operations account the whole school pays into, a journal that belongs to the books rather than to a site.</w:t>
            </w:r>
          </w:p>
          <w:p w:rsidR="00A62A3E" w:rsidRDefault="00000000">
            <w:pPr>
              <w:spacing w:after="20"/>
              <w:ind w:left="86" w:hanging="86"/>
            </w:pPr>
            <w:r>
              <w:rPr>
                <w:sz w:val="16"/>
              </w:rPr>
              <w:t xml:space="preserve">• Finance reads it inclusively. A bursar granted Ikeja sees Ikeja's rows and the school-wide ones beside them. Hiding the school-wide customer from her would read as missing data rather than as a rule, and refusing her that customer's receipt would look like a broken screen.</w:t>
            </w:r>
          </w:p>
          <w:p w:rsidR="00A62A3E" w:rsidRDefault="00000000">
            <w:pPr>
              <w:spacing w:after="20"/>
              <w:ind w:left="86" w:hanging="86"/>
            </w:pPr>
            <w:r>
              <w:rPr>
                <w:sz w:val="16"/>
              </w:rPr>
              <w:t xml:space="preserve">• Procurement reads it exclusively, and that is equally correct. A purchase raised for the school as a whole belongs to head office rather than to a branch, so a branch-pinned buyer is deliberately not in that scope.</w:t>
            </w:r>
          </w:p>
          <w:p w:rsidR="00A62A3E" w:rsidRDefault="00000000">
            <w:pPr>
              <w:spacing w:after="20"/>
              <w:ind w:left="86" w:hanging="86"/>
            </w:pPr>
            <w:r>
              <w:rPr>
                <w:sz w:val="16"/>
              </w:rPr>
              <w:t xml:space="preserve">• Neither reading is a defect in the other. Which one applies is a judgement about the kind of row, argued at each call site rather than settled once for the platform, so a reader comparing this module against Module 22 should expect the two to differ and should not reconcile them.</w:t>
            </w:r>
          </w:p>
        </w:tc>
      </w:tr>
    </w:tbl>
    <w:p w:rsidR="00A62A3E" w:rsidRDefault="00000000">
      <w:pPr>
        <w:pStyle w:val="Heading1"/>
        <w:keepNext/>
        <w:pBdr>
          <w:bottom w:val="single" w:sz="14" w:space="5" w:color="355B9D"/>
        </w:pBdr>
      </w:pPr>
      <w:r>
        <w:t>3. Actors, Permissions, and Ownership</w:t>
      </w:r>
    </w:p>
    <w:p w:rsidR="00A62A3E" w:rsidRDefault="00000000">
      <w:pPr>
        <w:spacing w:after="120"/>
      </w:pPr>
      <w:r>
        <w:t xml:space="preserve">Access is governed by RBAC permission keys seeded by seed_finance_permissions across some thirty resources, enforced on every view. The keys that can alter the books without a document behind them are CRITICAL. A key answers whether a caller may open a screen and never names a branch; which branches they then work in is decided separately, from the same grants (Section 2.3). Every actor below should therefore be read as this role, at the branches it was granted for.</w:t>
      </w:r>
    </w:p>
    <w:tbl>
      <w:tblPr>
        <w:tblW w:w="10468" w:type="dxa"/>
        <w:jc w:val="center"/>
        <w:tblLayout w:type="fixed"/>
        <w:tblLook w:val="04A0" w:firstRow="1" w:lastRow="0" w:firstColumn="1" w:lastColumn="0" w:noHBand="0" w:noVBand="1"/>
      </w:tblPr>
      <w:tblGrid>
        <w:gridCol w:w="2100"/>
        <w:gridCol w:w="4600"/>
        <w:gridCol w:w="3768"/>
      </w:tblGrid>
      <w:tr w:rsidR="00A62A3E">
        <w:trPr>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Governed by</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Accountant</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 and submit journals, run reports, read the chart of accounts.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finance.journal.*, finance.report.view, finance.account.view</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Financial controller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and reverse journals, post a direct entry, run and complete a period close.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finance.journal.post, finance.directentry.post (CRITICAL), finance.period.*</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Configuration owner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Maintain the chart of accounts, cost centres, dimensions, currencies, FX rates, tax codes, and finance settings.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finance.account.create/.update, finance.settings.update (SENSITIVE)</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 reconciler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Import statements, match, split, adjust, and complete a reconciliation.</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finance.bankaccount.*</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Payroll officer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Maintain salary structures and run, post, and pay a payroll.</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finance.payrollrun.*, finance.salary.*</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Claims and cash handler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Submit and settle expense claims; run a petty-cash float.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finance.expenseclaim.*, finance.pettycash.*, finance.pettycashvoucher.*</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Tax officer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Prepare, file, and pay a statutory return.</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finance.tax.*</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Auditor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the finance audit trail and its facets.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finance.audit.view (SENSITIVE)</w:t>
            </w:r>
          </w:p>
        </w:tc>
      </w:tr>
    </w:tbl>
    <w:p w:rsidR="00A62A3E" w:rsidRDefault="00000000">
      <w:pPr>
        <w:pStyle w:val="Heading1"/>
        <w:keepNext/>
        <w:pBdr>
          <w:bottom w:val="single" w:sz="14" w:space="5" w:color="355B9D"/>
        </w:pBdr>
      </w:pPr>
      <w:r>
        <w:t>4. Functional Requirements</w:t>
      </w:r>
    </w:p>
    <w:p w:rsidR="00A62A3E" w:rsidRDefault="00000000">
      <w:pPr>
        <w:pStyle w:val="Heading2"/>
        <w:keepNext/>
        <w:pBdr>
          <w:bottom w:val="single" w:sz="8" w:space="5" w:color="355B9D"/>
        </w:pBdr>
      </w:pPr>
      <w:r>
        <w:t>FR-001 Hold a Chart of Accounts per Entity</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FR-001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Each ledger entity has its own chart of accounts, and services that need a control account find it by code rather than by identifier.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Accounts are entity-scoped with an activity view per account. Payroll, depreciation, expense claims and bank charges resolve their control accounts through a single by-code helper.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entity with a customised chart fails loudly with a clear missing-account error rather than posting into the wrong place.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by-code convention means renaming a control account's code breaks posting until the chart is corrected.</w:t>
            </w:r>
          </w:p>
        </w:tc>
      </w:tr>
    </w:tbl>
    <w:p w:rsidR="00A62A3E" w:rsidRDefault="00000000">
      <w:pPr>
        <w:spacing w:after="0"/>
      </w:pPr>
    </w:p>
    <w:p w:rsidR="00A62A3E" w:rsidRDefault="00000000">
      <w:pPr>
        <w:pStyle w:val="Heading2"/>
        <w:keepNext/>
        <w:pBdr>
          <w:bottom w:val="single" w:sz="8" w:space="5" w:color="355B9D"/>
        </w:pBdr>
      </w:pPr>
      <w:r>
        <w:t>FR-002 Refuse an Unbalanced or Out-of-Period Posting</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FR-002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 journal may post unbalanced, and none may post into a period that is not open.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posting guards are the single enforcement point, applied by post_journal and therefore by every caller including payments and procurement. The posting window and the period's status are both checked there.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call that bypasses the screens is refused identically. A closed period surfaces to a gateway booking as a recorded failure rather than a silent success.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FR-003 Post, Reverse, and Record a Journal</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FR-003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journal can be raised, submitted, posted, and reversed, with the reversal recorded rather than the original edited.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Journals carry a submit, post, and reverse endpoint; direct entries post in one step behind a CRITICAL key. Posting maintains the denormalised account balances the reports read. Where a journal went through approval, Module 7 asks the finance approval handler before reversing a decision and tells it afterwards in the same transaction. The handler refuses with REVERSAL_NOT_ALLOWED once the document has left draft or pending approval, because the engine can withdraw its record of an approval and cannot withdraw a posted entry, and undoing a rejection or a return puts the document back to pending approval rather than leaving an editable draft of something still under review. The same handler base serves expense claims and the four adjustment types in Module 20. A journal submitted for approval now freezes its posting header and all lines as a built-in workflow detail layout.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posted journal is never edited in place: a correction is a reversal and a new entry, so the history of what the books said remains readable. JournalApprovalWorkflowTests proves a reversal is refused once the journal has posted, and that reversing a stage that has not posted returns the journal to the approval queue. JournalApprovalWorkflowTests.test_journal_lines_and_narration_are_snapshotted_as_details proves narration and both sides of the entry remain available outside the summary.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FR-004 Guard the Accounting Date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FR-004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transaction must be refusable when it could not have happened on the date it claims.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chronology guards validate sub-ledger decisions against the state as at the chosen accounting date rather than current state: credit available then, an invoice raised by then, a bill that existed by then.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refund cannot pay out credit that arrives eight days later; a write-off cannot clear an invoice not yet raised; a receipt cannot settle a bill that did not exist.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FR-005 Close a Period Under a Checklist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FR-005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Sealing a period must run integrity checks and post what the close owes before the period locks.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close runs a checklist (trial balance balanced, AR sub-ledger equals its control, all due depreciation posted), posts the auto-entries, then moves the period through open, soft-closed, closed, locked.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AP and GR/IR reconciliations arrive through the registry in FR-017 rather than being imported, keeping the dependency one-way. Reopen and lock are separate, permissioned actions, and a forced close is audited as forced.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checklist can still be forced past a blocking failure. That is a deliberate break-glass and the audit message says so, but it is a way past every check on this list.</w:t>
            </w:r>
          </w:p>
        </w:tc>
      </w:tr>
    </w:tbl>
    <w:p w:rsidR="00A62A3E" w:rsidRDefault="00000000">
      <w:pPr>
        <w:spacing w:after="0"/>
      </w:pPr>
    </w:p>
    <w:p w:rsidR="00A62A3E" w:rsidRDefault="00000000">
      <w:pPr>
        <w:pStyle w:val="Heading2"/>
        <w:keepNext/>
        <w:pBdr>
          <w:bottom w:val="single" w:sz="8" w:space="5" w:color="355B9D"/>
        </w:pBdr>
      </w:pPr>
      <w:r>
        <w:t>FR-006 Report Off Maintained Balances</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FR-006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standard statements must be cheap to produce and must always balance.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Reports read the denormalised account balances that posting maintains rather than re-summing the journal. Trial balance, income statement, balance sheet, cash flow, changes in equity, the statutory pack, analytics slices, and a dashboard are all served this way.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double-entry ledger over a balanced set of postings always balances, and the trial balance demonstrates it directly.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balance corrupted outside the posting service would be believed by the reports; the balances are a cache maintained at the one write point. Separately, none of these statements is narrowed to the branches the reader is entitled to, which is this module's open gap: see FR-019 and Section 9.</w:t>
            </w:r>
          </w:p>
        </w:tc>
      </w:tr>
    </w:tbl>
    <w:p w:rsidR="00A62A3E" w:rsidRDefault="00000000">
      <w:pPr>
        <w:spacing w:after="0"/>
      </w:pPr>
    </w:p>
    <w:p w:rsidR="00A62A3E" w:rsidRDefault="00000000">
      <w:pPr>
        <w:pStyle w:val="Heading2"/>
        <w:keepNext/>
        <w:pBdr>
          <w:bottom w:val="single" w:sz="8" w:space="5" w:color="355B9D"/>
        </w:pBdr>
      </w:pPr>
      <w:r>
        <w:t>FR-007 Import and Reconcile a Bank Statement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FR-007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Every difference between the ledger's cash balance and the bank's must be explainable.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Statements import through the shared wizard, with finance owning the normalisation and the statement-wide invariants that must hold before publish creates any reconciliation rows. Lines can be matched, group-matched, split-matched, ignored, unmatched, or resolved by an adjusting journal, and the reconciliation completed. A statement uploaded through the import wizard is filed under its account's branch rather than the uploader's, so the statements of an account with no branch stay unassigned however they arrive, and a branch's collection account keeps its statements to that branch even when somebody covering several branches uploads one.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statement amount is signed from the platform's perspective and a ledger cash line's signed contribution is debit minus credit, so a match is an equality rather than a judgement. Auto-reconcile proposes; it does not post. BankStatementImportWizardTests proves the batch takes the branch of the account it continues, and that an account with no branch keeps its statements without one.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FR-008 Run Expense Claims as a Small Payables Cycle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FR-008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entity's debt to an employee who spent their own money must be recognised when incurred and cleared when repaid.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Posting a claim debits the expenses and any recoverable input VAT and credits accrued reimbursement; settling debits accrued reimbursement and credits bank. Claims can also be rejected or voided, and line receipts attached. A receipt is validated before it reaches storage - extension, size, and the leading bytes agreeing with the extension - through the checker shared with the other upload endpoints on the platform. Reading one back is authorised per file: the receipt is bound to its claim line and to the school, and the request must clear the school's own tenant and then the claim's read rule, which admits the claimant to her own receipt and otherwise requires finance.expenseclaim.view scoped to the claim's branch - the same verb the claim's detail endpoint demands. The URL is signed for one person and expires. An expense claim submitted for approval now freezes its header and claim-item table separately from its concise summary.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claim accrues once and is reimbursed against that accrual, so the liability drains rather than duplicating. The claim is re-read under a row lock inside the reimbursement transaction, so two operators reimbursing the same claim at the same moment cannot both read the full outstanding balance and each pay it: the second sees what the first wrote and has nothing left to settle. ExpenseClaimWorkflowTests proves the submitted instance contains both fields and table sections before approval posts the claim.</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Archiving a claim does not retire its receipt. Deleting the record closes the file and empties the bytes, and replacing an upload retires the one it replaced, but only deletion raises the signal that retirement hangs off. An archived claim's receipt therefore stays readable to whoever the claim's read rule still admits.</w:t>
            </w:r>
          </w:p>
        </w:tc>
      </w:tr>
    </w:tbl>
    <w:p w:rsidR="00A62A3E" w:rsidRDefault="00000000">
      <w:pPr>
        <w:spacing w:after="0"/>
      </w:pPr>
    </w:p>
    <w:p w:rsidR="00A62A3E" w:rsidRDefault="00000000">
      <w:pPr>
        <w:pStyle w:val="Heading2"/>
        <w:keepNext/>
        <w:pBdr>
          <w:bottom w:val="single" w:sz="8" w:space="5" w:color="355B9D"/>
        </w:pBdr>
      </w:pPr>
      <w:r>
        <w:t>FR-009 Run a Petty-Cash Float on the Imprest System</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FR-009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physical cash float must move through the ledger as it is spent, and must not be able to overdraw.</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Establishing or topping up debits petty cash and credits bank; a voucher debits the expenses and credits petty cash. The GL petty-cash account is the source of truth: the overdraw guard reads it live and the fund's recorded balance is re-synced from it after every operation.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fund cannot silently drift from the ledger, because it is re-derived rather than incremented. A voucher exceeding the float is refused.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FR-010 Accrue Then Disburse Payroll</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FR-010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Payroll cost is incurred before the cash leaves, and the statutory deductions are held in between.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accrual debits salary expense and credits PAYE payable, pension payable, and net wages payable. Disbursement clears only the net-pay liability against bank. Net is gross less PAYE and pension, per employee.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statutory liabilities stay on the balance sheet until remitted, which is what makes them visible to the tax module rather than lost inside a single payroll posting.</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Remittance itself is a separate filing or AP payment; payroll does not drain the liability.</w:t>
            </w:r>
          </w:p>
        </w:tc>
      </w:tr>
    </w:tbl>
    <w:p w:rsidR="00A62A3E" w:rsidRDefault="00000000">
      <w:pPr>
        <w:spacing w:after="0"/>
      </w:pPr>
    </w:p>
    <w:p w:rsidR="00A62A3E" w:rsidRDefault="00000000">
      <w:pPr>
        <w:pStyle w:val="Heading2"/>
        <w:keepNext/>
        <w:pBdr>
          <w:bottom w:val="single" w:sz="8" w:space="5" w:color="355B9D"/>
        </w:pBdr>
      </w:pPr>
      <w:r>
        <w:t>FR-011 Drain a Statutory Liability Through a Filing</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FR-011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What is owed to an authority must be derived from the ledger, not retyped.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obligation names one liability control account, its authority, and its cadence. Preparing a filing derives the amount from the net credit movement of that account over the period, less recoverable input movement for VAT. The lifecycle runs draft, filed, paid, with unfile available.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worksheet posts nothing; the amount is reproducible from the GL at any time.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FR-012 Freeze an Approved Budget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FR-012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plan that actuals are measured against must not be rewritten after the fact.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Budgets hold lines per account and period and never post to the ledger. Approving one locks it. Variance and heatmap views compare it against actuals.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disappointing variance cannot be quietly fixed by editing the budget, because approval is the lock.</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FR-013 Capitalise and Depreciate a Fixed Asset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FR-013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capital asset is recognised at cost and expensed over its useful life without losing the original cost.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Acquisition debits PP&amp;E and credits bank or payable, then lays down the schedule. Depreciation debits the expense and credits accumulated depreciation, a contra-asset, so net book value falls while cost stays. A run-depreciation endpoint posts everything due; disposal is a separate action.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Straight-line in integer kobo, with the rounding remainder thrown onto the final period so the schedule sums to the depreciable base exactly.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Straight-line only. No reducing-balance or usage-based method.</w:t>
            </w:r>
          </w:p>
        </w:tc>
      </w:tr>
    </w:tbl>
    <w:p w:rsidR="00A62A3E" w:rsidRDefault="00000000">
      <w:pPr>
        <w:spacing w:after="0"/>
      </w:pPr>
    </w:p>
    <w:p w:rsidR="00A62A3E" w:rsidRDefault="00000000">
      <w:pPr>
        <w:pStyle w:val="Heading2"/>
        <w:keepNext/>
        <w:pBdr>
          <w:bottom w:val="single" w:sz="8" w:space="5" w:color="355B9D"/>
        </w:pBdr>
      </w:pPr>
      <w:r>
        <w:t>FR-014 Keep a Finance Audit Trail</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FR-014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Who changed the books, and what they changed, must be readable afterwards.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Finance writes its own audit rows for postings and configuration changes, served by an audit-log endpoint with facets for filtering, behind a SENSITIVE key.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Gateway actions in Module 18 keep their own append-only trail, so the two are complementary rather than duplicated.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FR-015 Warn Before the Calendar Runs Out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FR-015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entity must not discover on the day that it has no open period to post into.</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fiscal-calendar runway warning surfaces when the defined periods are close to exhausted.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warning is derived from the calendar, so it needs no separate bookkeeping to stay true.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It warns; it does not create the next year.</w:t>
            </w:r>
          </w:p>
        </w:tc>
      </w:tr>
    </w:tbl>
    <w:p w:rsidR="00A62A3E" w:rsidRDefault="00000000">
      <w:pPr>
        <w:spacing w:after="0"/>
      </w:pPr>
    </w:p>
    <w:p w:rsidR="00A62A3E" w:rsidRDefault="00000000">
      <w:pPr>
        <w:pStyle w:val="Heading2"/>
        <w:keepNext/>
        <w:pBdr>
          <w:bottom w:val="single" w:sz="8" w:space="5" w:color="355B9D"/>
        </w:pBdr>
      </w:pPr>
      <w:r>
        <w:t>FR-016 Scope Every Read and Write to Its Entity</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FR-016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One entity's ledger must never be readable or writable by another, and no level of permission may widen that.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visible_entities() is the single authority for which sets of books a caller may see, scoping on the asserted tenant alone. resolve_entity() reads from it, so every entity-scoped endpoint filters through the same answer, and the list endpoint reads from it too, so a picker can no longer offer books that opening them would refuse. Reports traverse an entity-scoped parent rather than starting from a global queryset.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platform caller sees only CodeX's own books, by code and by primary key, and a school caller sees only its school's; the boundary is asserted in both directions. One test walks everything the list returns and opens each one, so the list and the resolver cannot drift apart again without failing. Cost-centre access is separately tested against a caller holding only some of the keys.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Reaching another tenant's ledger is deliberately not a permission. It is done by proxying a user who holds the finance key in that tenant, which changes the asserted tenant, so the books are read as somebody entitled to them and the act is attributable. Entity is the outer boundary only; the finer narrowing inside one entity is branch, and it is FR-019 to FR-021. Creating a set of books is a platform act: finance.entity.create is registered with platform scope, so no tenant role can hold it and a tenant works in the books it was given when it was created, while reading the entity list stays tenant-holdable.</w:t>
            </w:r>
          </w:p>
        </w:tc>
      </w:tr>
    </w:tbl>
    <w:p w:rsidR="00A62A3E" w:rsidRDefault="00000000">
      <w:pPr>
        <w:spacing w:after="0"/>
      </w:pPr>
    </w:p>
    <w:p w:rsidR="00A62A3E" w:rsidRDefault="00000000">
      <w:pPr>
        <w:pStyle w:val="Heading2"/>
        <w:keepNext/>
        <w:pBdr>
          <w:bottom w:val="single" w:sz="8" w:space="5" w:color="355B9D"/>
        </w:pBdr>
      </w:pPr>
      <w:r>
        <w:t>FR-017 Let a Dependent App Contribute a Close Check</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FR-017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close must be able to run checks this module cannot write, without this module importing the app that owns them.</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register_close_check takes a callable invoked as (entity, period) returning a checklist item, an iterable of them, or nothing. Procurement registers its AP and GR/IR reconciliations from its own startup, the same inversion the workflow handlers and export datasets use.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registered check that raises is reported as a failed blocking item rather than escaping or vanishing: a check that cannot answer is not a check that passed. Registration is idempotent, so a module imported twice does not double the check.</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This replaced an extra_checks argument that only a test ever passed, so until now every close in the product ran without the payables checks and could seal a period over an unreconciled AP position while reporting success.</w:t>
            </w:r>
          </w:p>
        </w:tc>
      </w:tr>
    </w:tbl>
    <w:p w:rsidR="00A62A3E" w:rsidRDefault="00000000">
      <w:pPr>
        <w:spacing w:after="0"/>
      </w:pPr>
    </w:p>
    <w:p w:rsidR="00A62A3E" w:rsidRDefault="00000000">
      <w:pPr>
        <w:pStyle w:val="Heading2"/>
        <w:keepNext/>
        <w:pBdr>
          <w:bottom w:val="single" w:sz="8" w:space="5" w:color="355B9D"/>
        </w:pBdr>
      </w:pPr>
      <w:r>
        <w:t>FR-018 Provision What the Books Depend On</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FR-018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Creating a tenant's books must also create the controls over them.</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register_entity_provisioner runs registered callables inside the transaction that creates a ledger entity, alongside the currencies, chart of accounts and fiscal periods. Finance, procurement and payments each register their own approval ladders, whose stages name approver groups the same call creates empty, so a tenant's books arrive with closed rules rather than with roles it never asked for. The finance abstraction layer provisions a school's books through this path rather than creating a ledger entity itself, which is the difference between books a school can post to and a row that fails at the first posting.</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provisioner that raises rolls the entity back rather than leaving books without their gates, and provisioners are idempotent so a second entity in one tenant finds the earlier work and leaves it alone.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pStyle w:val="Heading2"/>
        <w:keepNext/>
        <w:pBdr>
          <w:bottom w:val="single" w:sz="8" w:space="5" w:color="355B9D"/>
        </w:pBdr>
      </w:pPr>
      <w:r>
        <w:t xml:space="preserve">FR-019 Narrow Every Read to the Caller's Branches</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FF3D6"/>
            <w:tcMar>
              <w:top w:w="70" w:type="dxa"/>
              <w:left w:w="90" w:type="dxa"/>
              <w:bottom w:w="70" w:type="dxa"/>
              <w:right w:w="90" w:type="dxa"/>
            </w:tcMar>
            <w:vAlign w:val="center"/>
          </w:tcPr>
          <w:p w:rsidR="00A62A3E" w:rsidRDefault="00000000">
            <w:pPr>
              <w:keepNext/>
              <w:spacing w:after="0"/>
            </w:pPr>
            <w:r>
              <w:rPr>
                <w:b/>
                <w:color w:val="A86800"/>
              </w:rPr>
              <w:t xml:space="preserve">FR-019 | Implemented with limits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caller granted a branch must read that branch's rows and the school-wide ones beside them, and must not read another branch's.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Every list, detail read, action lookup and aggregate narrows to the branches the caller's grants entitle them to, through one shared resolution of the rule. The reference resolvers behind detail reads and actions - customer, invoice, debit note and fee structure - apply the same narrowing before matching a code or id, so a caller cannot reach a row outside their branches by naming it. Banking is held to the same rule: every route that reaches a bank account by id, including rename, statement import, auto-reconcile, split match and reconciliation completion, resolves it through one narrowed resolver, and statements and statement lines take their account's branch, so an account the list withholds cannot be read or worked on by naming its id.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caller nothing narrows renders to an empty filter, which compiles to byte-identical SQL, so a whole-tenant caller and a school with one branch are not merely unaffected but indistinguishable from before. The evidence is taken over real HTTP with real grants against two shapes of school, a three-branch one and a single-branch one; three rather than two, because with only two branches a filter that quietly means any branch but that one still passes. Every case names the school-wide row explicitly rather than counting a set, and a rival tenant proves the narrowing has not weakened the tenant boundary it sits inside. An account, statement or line outside the caller's branches answers 404 exactly as an unknown id does, and the account with no branch stays reachable from every branch. BankAccountReachedByIdNarrowsTests in tests_branch_scope.py proves each route refuses another branch's account and its statements and lines, still answers for the caller's own, and that the list and the detail route agree.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trial balance, income statement and balance sheet still aggregate ledger lines across branches. They reach the branch through several relation paths and need their own design round, so they are deliberately excluded and remain an open gap in the MRD.</w:t>
            </w:r>
          </w:p>
        </w:tc>
      </w:tr>
    </w:tbl>
    <w:p w:rsidR="00A62A3E" w:rsidRDefault="00000000">
      <w:pPr>
        <w:spacing w:after="0"/>
      </w:pPr>
    </w:p>
    <w:p w:rsidR="00A62A3E" w:rsidRDefault="00000000">
      <w:pPr>
        <w:pStyle w:val="Heading2"/>
        <w:keepNext/>
        <w:pBdr>
          <w:bottom w:val="single" w:sz="8" w:space="5" w:color="355B9D"/>
        </w:pBdr>
      </w:pPr>
      <w:r>
        <w:t xml:space="preserve">FR-020 Stamp the Branch a Document Was Raised At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FR-020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document must record the branch it was raised at, and a document continuing a chain must take its branch from the chain rather than from whoever is typing.</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row acquires a branch in exactly two ways. It starts a chain and captures the caller's: a caller pinned to one branch stamps it, naming a branch outside their own set is refused as a 403, and a caller nothing narrows writes none, which is the honest answer for somebody not pinned anywhere. A caller pinned to several who names none is a 400 telling them to name it, because guessing would file the row school-wide for the life of it and nothing later in the chain could narrow it again. Or it continues a chain, and takes its branch from the source and from nothing else; sources that disagree resolve to the school as a whole. Three row types take the permissive reading instead, each argued at its own call site: a fee structure is a template published once for every branch, one operations account the whole school pays into is the ordinary arrangement for a bank account, and a central payroll run covers everybody the school employs (FR-021). In all three, a caller pinned to a single branch still stamps it.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Inheritance closed a write-side hole at the same choke point: the customer lookup and the petty-cash fund lookup were not branch-filtered, so a Lekki bursar could name an Ikeja family by code. She is refused there now, for every receivables document at once. Three propagation paths that were missing rather than deliberately empty are joined up: the opening-balance invoice takes its customer's branch, a fee run bills each family in its own branch rather than the template's, and the gateway receipt in Module 18 inherits too, which matters because that is how most parents actually pay and without it one family's ledger split across two scopes.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Four writes stay school-wide deliberately, because each aggregates the whole entity: the year-end close, opening-balance direct entries, the depreciation run, and tax filings. Uniqueness checks stay entity-wide as well, so two branches cannot mint the same customer code. Nothing was migrated: a document raised before this landed carries no branch and stays school-wide, which is the correct reading of it, but it means the column describes new data only.</w:t>
            </w:r>
          </w:p>
        </w:tc>
      </w:tr>
    </w:tbl>
    <w:p w:rsidR="00A62A3E" w:rsidRDefault="00000000">
      <w:pPr>
        <w:spacing w:after="0"/>
      </w:pPr>
    </w:p>
    <w:p w:rsidR="00A62A3E" w:rsidRDefault="00000000">
      <w:pPr>
        <w:pStyle w:val="Heading2"/>
        <w:keepNext/>
        <w:pBdr>
          <w:bottom w:val="single" w:sz="8" w:space="5" w:color="355B9D"/>
        </w:pBdr>
      </w:pPr>
      <w:r>
        <w:t xml:space="preserve">FR-021 Run Payroll Centrally or Per Branch</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keepNext/>
              <w:spacing w:after="0"/>
            </w:pPr>
            <w:r>
              <w:rPr>
                <w:b/>
                <w:color w:val="1F7A4D"/>
              </w:rPr>
              <w:t xml:space="preserve">FR-021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school must be able to run one payroll for everybody or one for each branch, and neither arrangement may pay somebody twice or miss them.</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The scope is a school-level setting, central or per branch, defaulting to central, so every school behaves exactly as it did until it opts in deliberately. It is not a platform setting, because one flip would move every school past its own roster check, and not a branch setting, because a branch disagreeing with its siblings about how the school runs payroll is a contradiction rather than a configuration. The employee salary record gained a branch of its own, nullable and not backfilled, which is what made a branch run answerable at all: before it, asking a run to cover one branch asked the roster a question it could not answer. The same change narrowed the salary lookup, which had been entity-scoped only, so an Ikeja officer could rewrite a Lekki teacher's gross pay by guessing an identifier; it is now narrowed like every other finance read, on update and delete alike. A salary row may also name the employee's account: employee takes a user id, resolves it only inside the entity's own tenant and refuses any other with a field error, and a row created or linked with no name typed takes its name from that account. The link is optional, because a tenant may pay somebody with no account, such as a contractor, and it is not backfilled, so the roster returns employee_id as null for every row written before it.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branch run reads its branch exclusively, which is the opposite of every other read in this module and the reason it is stated twice. If it read inclusively, a salary row with no branch would appear in Ikeja's run, Lekki's and Yaba's, and that person would be paid three times while every individual screen looked correct. The mirror risk is prevented rather than reported: because head office is itself a branch, everybody can be assigned to one, so the switch to per-branch payroll is refused while any active salary row has none, and the refusal names those people rather than counting them, since 4 staff are unassigned sends a bursar hunting through a roster of 109. Inactive rows do not block, and switching back to central is never guarded. Two live runs may share a period only when both are branch-scoped and to different branches, and the same period means the fiscal period containing the pay date rather than the typed label, because Jan 2026 and January 2026 are one payroll to everyone except a string comparison. Roster reads stay inclusive while runs are exclusive, deliberately: somebody must see an unassigned row in order to assign it, but no branch run may pay it.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Under the central default a run stamps no branch, so a central school's payroll records remain school-wide and the dimension is absent rather than empty. A school moving to per-branch payroll must assign every active employee first, and that is done one salary record at a time; the refusal names who is left, but there is no bulk assignment path. No finance test exercises the employee link.</w:t>
            </w:r>
          </w:p>
        </w:tc>
      </w:tr>
    </w:tbl>
    <w:p w:rsidR="00A62A3E" w:rsidRDefault="00000000">
      <w:pPr>
        <w:spacing w:after="0"/>
      </w:pPr>
    </w:p>
    <w:p w:rsidR="00A62A3E" w:rsidRDefault="00000000">
      <w:pPr>
        <w:spacing w:after="0"/>
      </w:pPr>
    </w:p>
    <w:p w:rsidR="00A62A3E" w:rsidRDefault="00000000">
      <w:pPr>
        <w:pStyle w:val="Heading1"/>
        <w:keepNext/>
        <w:pBdr>
          <w:bottom w:val="single" w:sz="14" w:space="5" w:color="355B9D"/>
        </w:pBdr>
      </w:pPr>
      <w:r>
        <w:t>5. Workflows and Lifecycle Rules</w:t>
      </w:r>
    </w:p>
    <w:p w:rsidR="00A62A3E" w:rsidRDefault="00000000">
      <w:pPr>
        <w:pStyle w:val="Heading2"/>
        <w:keepNext/>
        <w:pBdr>
          <w:bottom w:val="single" w:sz="8" w:space="5" w:color="355B9D"/>
        </w:pBdr>
      </w:pPr>
      <w:r>
        <w:t>5.1 Period Lifecycle</w:t>
      </w:r>
    </w:p>
    <w:tbl>
      <w:tblPr>
        <w:tblW w:w="10468" w:type="dxa"/>
        <w:jc w:val="center"/>
        <w:tblLayout w:type="fixed"/>
        <w:tblLook w:val="04A0" w:firstRow="1" w:lastRow="0" w:firstColumn="1" w:lastColumn="0" w:noHBand="0" w:noVBand="1"/>
      </w:tblPr>
      <w:tblGrid>
        <w:gridCol w:w="2000"/>
        <w:gridCol w:w="5200"/>
        <w:gridCol w:w="3268"/>
      </w:tblGrid>
      <w:tr w:rsidR="00A62A3E">
        <w:trPr>
          <w:tblHeader/>
          <w:jc w:val="center"/>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5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c>
          <w:tcPr>
            <w:tcW w:w="3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Leaves to</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OPEN</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Postings are accepted.</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SOFT_CLOSED.</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SOFT_CLOSED</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Ordinary posting stops; corrections are still possible.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CLOSED, or back to OPEN by a permissioned reopen.</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CLOSED</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period is sealed after its checklist passed.</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LOCKED, or back by reopen.</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LOCKED</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Final. Nothing posts into it again.</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w:t>
            </w:r>
          </w:p>
        </w:tc>
      </w:tr>
    </w:tbl>
    <w:p w:rsidR="00A62A3E" w:rsidRDefault="00000000">
      <w:pPr>
        <w:pStyle w:val="Heading2"/>
        <w:keepNext/>
        <w:pBdr>
          <w:bottom w:val="single" w:sz="8" w:space="5" w:color="355B9D"/>
        </w:pBdr>
      </w:pPr>
      <w:r>
        <w:t>5.2 Journal Lifecycle</w:t>
      </w:r>
    </w:p>
    <w:p w:rsidR="00A62A3E" w:rsidRDefault="00000000">
      <w:pPr>
        <w:spacing w:after="120"/>
      </w:pPr>
      <w:r>
        <w:t xml:space="preserve">A journal is raised as a draft, optionally submitted for approval where a template exists for the document type, and posted once. After posting the only correction is a reversal, which is itself a posting on its own date. A direct entry compresses raise and post into one CRITICAL action.</w:t>
      </w:r>
    </w:p>
    <w:p w:rsidR="00A62A3E" w:rsidRDefault="00000000">
      <w:pPr>
        <w:pStyle w:val="Heading2"/>
        <w:keepNext/>
        <w:pBdr>
          <w:bottom w:val="single" w:sz="8" w:space="5" w:color="355B9D"/>
        </w:pBdr>
      </w:pPr>
      <w:r>
        <w:t>5.3 The Sub-Cycles That End in a Journal</w:t>
      </w:r>
    </w:p>
    <w:tbl>
      <w:tblPr>
        <w:tblW w:w="10468" w:type="dxa"/>
        <w:jc w:val="center"/>
        <w:tblLayout w:type="fixed"/>
        <w:tblLook w:val="04A0" w:firstRow="1" w:lastRow="0" w:firstColumn="1" w:lastColumn="0" w:noHBand="0" w:noVBand="1"/>
      </w:tblPr>
      <w:tblGrid>
        <w:gridCol w:w="2000"/>
        <w:gridCol w:w="4400"/>
        <w:gridCol w:w="4068"/>
      </w:tblGrid>
      <w:tr w:rsidR="00A62A3E">
        <w:trPr>
          <w:tblHeader/>
          <w:jc w:val="center"/>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Cycle</w:t>
            </w:r>
          </w:p>
        </w:tc>
        <w:tc>
          <w:tcPr>
            <w:tcW w:w="4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Recognition</w:t>
            </w:r>
          </w:p>
        </w:tc>
        <w:tc>
          <w:tcPr>
            <w:tcW w:w="4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Clearing</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Expense claim</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expense (+ input VAT), Cr accrued reimbursement.</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accrued reimbursement, Cr bank.</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Petty cash</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petty cash, Cr bank on establish or top-up.</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expense (+ input VAT), Cr petty cash on each voucher.</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Payroll</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salary expense, Cr PAYE, pension, and net wages payable.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net wages payable, Cr bank.</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Fixed asset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PP&amp;E, Cr bank or payable.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depreciation expense, Cr accumulated depreciation, per period.</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Tax filing</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liability is already parked by the source transaction.</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Filing and payment drain the control account.</w:t>
            </w:r>
          </w:p>
        </w:tc>
      </w:tr>
    </w:tbl>
    <w:p w:rsidR="00A62A3E" w:rsidRDefault="00000000">
      <w:pPr>
        <w:pStyle w:val="Heading2"/>
        <w:keepNext/>
        <w:pBdr>
          <w:bottom w:val="single" w:sz="8" w:space="5" w:color="355B9D"/>
        </w:pBdr>
      </w:pPr>
      <w:r>
        <w:t xml:space="preserve">5.4 Where a Document's Branch Comes From</w:t>
      </w:r>
    </w:p>
    <w:tbl>
      <w:tblPr>
        <w:tblW w:w="10468" w:type="dxa"/>
        <w:jc w:val="center"/>
        <w:tblLayout w:type="fixed"/>
        <w:tblLook w:val="04A0" w:firstRow="1" w:lastRow="0" w:firstColumn="1" w:lastColumn="0" w:noHBand="0" w:noVBand="1"/>
      </w:tblPr>
      <w:tblGrid>
        <w:gridCol w:w="2000"/>
        <w:gridCol w:w="4400"/>
        <w:gridCol w:w="4068"/>
      </w:tblGrid>
      <w:tr w:rsidR="00A62A3E">
        <w:trPr>
          <w:tblHeader/>
          <w:jc w:val="center"/>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Situation</w:t>
            </w:r>
          </w:p>
        </w:tc>
        <w:tc>
          <w:tcPr>
            <w:tcW w:w="4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Branch on the new row</w:t>
            </w:r>
          </w:p>
        </w:tc>
        <w:tc>
          <w:tcPr>
            <w:tcW w:w="4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Why</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caller pinned to one branch raises a document.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That branch.</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She works in one place, so naming a different one is refused rather than retargeted.</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caller pinned to several raises one and names none.</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with a message naming the field.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There is no obvious default, and guessing would file it school-wide for the life of the row.</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caller pinned to several names one of her own.</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branch she named.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choice rather than a guess.</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Any caller names a branch outside her own set.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branch belonging to another school is reported identically, so the field cannot be used to discover one.</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caller nothing narrows raises a document.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None: school-wide.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honest answer for somebody who is not pinned anywhere.</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document continues a chain.</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source's branch, whatever the body says.</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chain decides, not whoever is typing. Sources that disagree resolve to school-wide.</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fee structure, a bank account, or a central payroll run.</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School-wide where the caller covers several branches.</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Each is genuinely published or held once for the whole school.</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Year-end close, opening-balance direct entries, the depreciation run, a tax filing.</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None, always.</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Each aggregates the whole entity, so school-wide is correct rather than missing.</w:t>
            </w:r>
          </w:p>
        </w:tc>
      </w:tr>
    </w:tbl>
    <w:p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Notes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LedgerEntity</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set of books, owned by a tenant.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scope boundary for every finance read and write. Branch is a finer dimension inside it, never a substitute for it.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chart-of-accounts line.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Resolved by code where a service needs a control account.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FiscalYear, FiscalPeriod</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calendar and its four-state lock.</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posting guard reads the period's status.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JournalEntry, JournalLine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balanced posting and its lines.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Reversal is a new entry, never an edit.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AccountBalance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Denormalised balances per account and period.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Maintained by posting; read by every report.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BankAccount, BankStatementLine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 records and imported lines.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line's amount is signed from the platform's perspective.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ExpenseClaim, PettyCashFund, PayrollRun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spend cycles.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Each recognises a liability and clears it in a second posting.</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TaxObligation, TaxFiling</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is owed, and one return over one period.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amount is derived from the control account's movement.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 BudgetLine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plan.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Never posts; frozen by approval.</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FixedAsset and its schedule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Cost, life, and the depreciation plan.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Accumulated depreciation is a contra-asset.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Branch on a finance document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branch the document was raised at, or none for school-wide.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Stamped at creation or inherited from the source, and read inclusively (FR-019, FR-020).</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EmployeeSalary</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employee's pay terms, and the branch that employs them.</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Branch nullable and not backfilled; a branch payroll run reads it exclusively. The employee's user account is an optional link inside the same tenant, also not backfilled (FR-021).</w:t>
            </w:r>
          </w:p>
        </w:tc>
      </w:tr>
    </w:tbl>
    <w:p w:rsidR="00A62A3E" w:rsidRDefault="00000000">
      <w:pPr>
        <w:pStyle w:val="Heading1"/>
        <w:keepNext/>
        <w:pBdr>
          <w:bottom w:val="single" w:sz="14" w:space="5" w:color="355B9D"/>
        </w:pBdr>
      </w:pPr>
      <w:r>
        <w:t>7. API and Validation Contracts</w:t>
      </w:r>
    </w:p>
    <w:p w:rsidR="00A62A3E" w:rsidRDefault="00000000">
      <w:pPr>
        <w:spacing w:after="120"/>
      </w:pPr>
      <w:r>
        <w:t xml:space="preserve">All routes are mounted under /v1/finance/ and require an asserted entity. The routes below are Module 19's; the billing and adjustment routes on the same prefix belong to Modules 17 and 20.</w:t>
      </w:r>
    </w:p>
    <w:p w:rsidR="00A62A3E" w:rsidRDefault="00000000">
      <w:pPr>
        <w:pStyle w:val="Heading2"/>
        <w:keepNext/>
        <w:pBdr>
          <w:bottom w:val="single" w:sz="8" w:space="5" w:color="355B9D"/>
        </w:pBdr>
      </w:pPr>
      <w:r>
        <w:t>7.1 Ledger and Calendar</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/entities/, /accounts/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Books and the chart of accounts.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/accounts/{id}/activity/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Movement on one account.</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/periods/, /fiscal-years/, /posting-window/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calendar and what is currently postable.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/journals/, /journals/{id}/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 and read journals; summary is separate.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/journals/{id}/submit/, /post/, /reverse/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journal lifecycle.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/direct-entries/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 and post in one CRITICAL action.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/periods/{id}/checklist/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the close would check.</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/periods/{id}/close/, /reopen/, /lock/</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period lock.</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/currencies/, /fx-rates/, /tax-codes/, /cost-centers/, /dimensions/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Ledger configuration.</w:t>
            </w:r>
          </w:p>
        </w:tc>
      </w:tr>
    </w:tbl>
    <w:p w:rsidR="00A62A3E" w:rsidRDefault="00000000">
      <w:pPr>
        <w:pStyle w:val="Heading2"/>
        <w:keepNext/>
        <w:pBdr>
          <w:bottom w:val="single" w:sz="8" w:space="5" w:color="355B9D"/>
        </w:pBdr>
      </w:pPr>
      <w:r>
        <w:t>7.2 Reporting</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/reports/dashboard/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finance landing aggregate.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/reports/trial-balance/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cardinal balanced view.</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/reports/income-statement/, /balance-sheet/, /cash-flow/, /changes-in-equity/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primary statements.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/reports/statutory-pack/</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statements as one filing pack.</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/reports/analytics-slice/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dimension or cost-centre cut.</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/audit-logs/, /audit-logs/facets/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finance audit trail.</w:t>
            </w:r>
          </w:p>
        </w:tc>
      </w:tr>
    </w:tbl>
    <w:p w:rsidR="00A62A3E" w:rsidRDefault="00000000">
      <w:pPr>
        <w:pStyle w:val="Heading2"/>
        <w:keepNext/>
        <w:pBdr>
          <w:bottom w:val="single" w:sz="8" w:space="5" w:color="355B9D"/>
        </w:pBdr>
      </w:pPr>
      <w:r>
        <w:t>7.3 Banking, Spend, Payroll, Tax, Budgets, Assets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/bank-accounts/ and its statement routes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Accounts, statement lines, imports, and the import template.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/bank-accounts/{id}/auto-reconcile/, /split-match/, /reconcile/complete/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Propose matches, split one line, finish.</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/statement-lines/{id}/match/, /match-group/, /adjust/, /unmatch/, /ignore/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Resolve one line.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/expense-claims/ and /petty-cash-* routes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two small spend cycles and their postings.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/payroll-runs/, /salary-structures/, /employee-salaries/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Payroll setup and the run.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/payroll-runs/{id}/post/, /pay/, /cancel/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Accrue, disburse, abandon.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/tax-obligations/, /tax-filings/ and their actions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Prepare, file, unfile, and pay a return.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/budgets/ and its lines, /approve/, /variance/, /heatmap/</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Plan, freeze, and compare.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/fixed-assets/, /acquire/, /depreciate/, /dispose/, /run-depreciation/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asset lifecycle.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/payroll-runs/?branch=, /employee-salaries/?branch=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Filter the runs list or the roster by branch; ?branch=unassigned finds the people no branch owns.</w:t>
            </w:r>
          </w:p>
        </w:tc>
      </w:tr>
    </w:tbl>
    <w:p w:rsidR="00A62A3E" w:rsidRDefault="00000000">
      <w:pPr>
        <w:pStyle w:val="Heading2"/>
        <w:keepNext/>
        <w:pBdr>
          <w:bottom w:val="single" w:sz="8" w:space="5" w:color="355B9D"/>
        </w:pBdr>
      </w:pPr>
      <w:r>
        <w:t>7.4 Typed Errors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Condition</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Answer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Posting into a period that is not open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at the posting guard.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 unbalanced journal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at the posting guard.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control account missing from a customised chart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clear missing-account error naming the code.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backdated movement the ledger could not have supported then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by the chronology guard.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petty-cash voucher exceeding the float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against the live GL balance.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Editing an approved budget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approval is the lock.</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Attaching an unsupported, empty, oversized, or mislabelled receipt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with a field error. Previously this reached the storage layer and answered with a server error instead.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Creating a document without naming a branch, by a caller who works in several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with a field error asking for the branch, rather than defaulted to school-wide.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Naming a branch the caller does not work in, or continuing another branch's chain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 branch belonging to another school is reported identically.</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Switching a school to per-branch payroll while an active employee has no branch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naming the staff who are still unassigned.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Two live payroll runs covering the same fiscal period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unless both are branch-scoped and to different branches.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Opening a bank account, statement or statement line outside the caller's branches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404, identical to an unknown id.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Reversing the approval of a journal or expense claim that has already posted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422 REVERSAL_NOT_ALLOWED from the workflow engine. The correction is a reversing entry.</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Naming another tenant's user as the employee on a salary row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with a field error on employee.</w:t>
            </w:r>
          </w:p>
        </w:tc>
      </w:tr>
    </w:tbl>
    <w:p>
      <w:r>
        <w:t>Finance approval detail contract. Journal summaries carry date and total; their frozen details add reference, optional narration, period and every debit or credit line. Expense-claim summaries carry date, claimant and total; their details add optional purpose and narration, subtotal and tax breakdowns, and every claim item.</w:t>
      </w:r>
    </w:p>
    <w:p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Contract</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Finance abstraction layer</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The school layer's only route into these books. It provisions a school's entity through provision_books, reads the receivable position for the dashboards and portals, and evaluates finance permission keys in the school that owns the entity. It holds no ledger logic and posts nothing itself.</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Supplies the keys every view enforces, seeded by seed_finance_permissions across some thirty resources, and the branch narrowing every finance read and write resolves from. That answer is read out of the caller's role grants, not out of the branch on their staff record, and the same answer serves the permission gate.</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Runs approval where a template exists for a finance document type. The submit response carries the parked warning when nobody can approve; submitting against a ladder with no steps is refused with APPROVAL_NOT_CONFIGURED unless the submitter confirms and is recorded; and reversing a decision is refused once the document has posted.</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18, Payments &amp; Collections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Books confirmed collections here and reads bank statement lines for reconciliation.</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Modules 21 to 23, procurement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through this ledger and supply the AP and GR/IR checks a period close accepts as extra checks.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10, Import &amp; Data</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Owns the statement-import wizard; finance owns the normalisation and the invariants publish must satisfy.</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26, Exports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Serves the finance export datasets.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5, Audit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Receives the finance audit stream.</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seed_finance provisions a baseline chart and calendar; seed_finance_permissions registers the keys.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6, Configuration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Holds the payroll scope as a school setting. Finance supplies the guard that refuses the switch, so the rule lives here and the configuration engine still knows nothing about employees.</w:t>
            </w:r>
          </w:p>
        </w:tc>
      </w:tr>
    </w:tbl>
    <w:p w:rsidR="00A62A3E" w:rsidRDefault="00000000">
      <w:pPr>
        <w:pStyle w:val="Heading1"/>
        <w:keepNext/>
        <w:pBdr>
          <w:bottom w:val="single" w:sz="14" w:space="5" w:color="355B9D"/>
        </w:pBdr>
      </w:pPr>
      <w:r>
        <w:t>9. Needs Attention</w:t>
      </w:r>
    </w:p>
    <w:p w:rsidR="00A62A3E" w:rsidRDefault="00000000">
      <w:pPr>
        <w:spacing w:after="120"/>
      </w:pPr>
      <w:r>
        <w:t xml:space="preserve">These are current risks and gaps, not history.</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 xml:space="preserve">CURRENT GAP - THE FINANCIAL STATEMENTS ARE NOT NARROWED BY BRANCH</w:t>
            </w:r>
          </w:p>
          <w:p w:rsidR="00A62A3E" w:rsidRDefault="00000000">
            <w:pPr>
              <w:spacing w:after="20"/>
              <w:ind w:left="86" w:hanging="86"/>
            </w:pPr>
            <w:r>
              <w:rPr>
                <w:sz w:val="16"/>
              </w:rPr>
              <w:t xml:space="preserve">• Every other branch-bearing read in this module narrows to the caller's branches (FR-019). These do not: trial balance, balance sheet, income statement, cash flow, changes in equity, the statutory pack, AR aging, AR reconciliation, the finance dashboard, budget variance and heatmap, and account activity.</w:t>
            </w:r>
          </w:p>
          <w:p w:rsidR="00A62A3E" w:rsidRDefault="00000000">
            <w:pPr>
              <w:spacing w:after="20"/>
              <w:ind w:left="86" w:hanging="86"/>
            </w:pPr>
            <w:r>
              <w:rPr>
                <w:sz w:val="16"/>
              </w:rPr>
              <w:t xml:space="preserve">• What it looks like on a screen: Corona runs Ikeja, Lekki and Yaba. Mrs Bello is Bursar at Ikeja, and her lists show Ikeja's rows and the school-wide ones. She opens the income statement and reads all three branches' surplus.</w:t>
            </w:r>
          </w:p>
          <w:p w:rsidR="00A62A3E" w:rsidRDefault="00000000">
            <w:pPr>
              <w:spacing w:after="20"/>
              <w:ind w:left="86" w:hanging="86"/>
            </w:pPr>
            <w:r>
              <w:rPr>
                <w:sz w:val="16"/>
              </w:rPr>
              <w:t xml:space="preserve">• This was named and deferred, not overlooked. The statements aggregate ledger lines through several different relation paths, so narrowing them is a design round of its own rather than a filter dropped into each query, and half-doing it would have been worse than leaving it whole and saying so.</w:t>
            </w:r>
          </w:p>
          <w:p w:rsidR="00A62A3E" w:rsidRDefault="00000000">
            <w:pPr>
              <w:spacing w:after="20"/>
              <w:ind w:left="86" w:hanging="86"/>
            </w:pPr>
            <w:r>
              <w:rPr>
                <w:sz w:val="16"/>
              </w:rPr>
              <w:t xml:space="preserve">• Required completion: narrow them through the same scope object, once per relation path, deciding for each path whether a row with no branch is shared across the school or is a scope of its own. Where a statement is an entity-level report by definition, record that decision in the code, so the absence is a decision rather than an omission.</w:t>
            </w:r>
          </w:p>
          <w:p w:rsidR="00A62A3E" w:rsidRDefault="00000000">
            <w:pPr>
              <w:spacing w:after="20"/>
              <w:ind w:left="86" w:hanging="86"/>
            </w:pPr>
            <w:r>
              <w:rPr>
                <w:sz w:val="16"/>
              </w:rPr>
              <w:t>• Module 4 owns the rule and carries the same item at P2, and MRD v2.76 carries it as the priority gap against Modules 19 and 4. The three agree that this is what remains open.</w:t>
            </w:r>
          </w:p>
        </w:tc>
      </w:tr>
    </w:tbl>
    <w:p w:rsidR="00A62A3E" w:rsidRDefault="00000000">
      <w:pPr>
        <w:spacing w:after="0"/>
      </w:pP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 xml:space="preserve">A CLOSE CAN STILL BE FORCED PAST A FAILED CHECK</w:t>
            </w:r>
          </w:p>
          <w:p w:rsidR="00A62A3E" w:rsidRDefault="00000000">
            <w:pPr>
              <w:spacing w:after="20"/>
              <w:ind w:left="86" w:hanging="86"/>
            </w:pPr>
            <w:r>
              <w:rPr>
                <w:sz w:val="16"/>
              </w:rPr>
              <w:t xml:space="preserve">• The close runs the payables checks a dependent app registers (FR-017), so it can no longer seal a period over an unreconciled AP position while reporting success.</w:t>
            </w:r>
          </w:p>
          <w:p w:rsidR="00A62A3E" w:rsidRDefault="00000000">
            <w:pPr>
              <w:spacing w:after="20"/>
              <w:ind w:left="86" w:hanging="86"/>
            </w:pPr>
            <w:r>
              <w:rPr>
                <w:sz w:val="16"/>
              </w:rPr>
              <w:t xml:space="preserve">• What remains is force. A blocking failure can still be overridden. That is a legitimate break-glass and the audit message records it as forced, but it is a route past every check the close makes.</w:t>
            </w:r>
          </w:p>
          <w:p w:rsidR="00A62A3E" w:rsidRDefault="00000000">
            <w:pPr>
              <w:spacing w:after="20"/>
              <w:ind w:left="86" w:hanging="86"/>
            </w:pPr>
            <w:r>
              <w:rPr>
                <w:sz w:val="16"/>
              </w:rPr>
              <w:t xml:space="preserve">• Required completion: decide whether forcing a close should need a permission of its own rather than a flag on the request.</w:t>
            </w:r>
          </w:p>
        </w:tc>
      </w:tr>
    </w:tbl>
    <w:p w:rsidR="00A62A3E" w:rsidRDefault="00000000">
      <w:pPr>
        <w:spacing w:after="0"/>
      </w:pP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 xml:space="preserve">FURTHER GAPS</w:t>
            </w:r>
          </w:p>
          <w:p w:rsidR="00A62A3E" w:rsidRDefault="00000000">
            <w:pPr>
              <w:spacing w:after="20"/>
              <w:ind w:left="86" w:hanging="86"/>
            </w:pPr>
            <w:r>
              <w:rPr>
                <w:sz w:val="16"/>
              </w:rPr>
              <w:t xml:space="preserve">• Reports read denormalised balances maintained by the posting service. They are a cache with a single writer, but a balance corrupted outside that writer would be believed.</w:t>
            </w:r>
          </w:p>
          <w:p w:rsidR="00A62A3E" w:rsidRDefault="00000000">
            <w:pPr>
              <w:spacing w:after="20"/>
              <w:ind w:left="86" w:hanging="86"/>
            </w:pPr>
            <w:r>
              <w:rPr>
                <w:sz w:val="16"/>
              </w:rPr>
              <w:t xml:space="preserve">• Depreciation is straight-line only. Reducing-balance and usage-based methods are not implemented.</w:t>
            </w:r>
          </w:p>
          <w:p w:rsidR="00A62A3E" w:rsidRDefault="00000000">
            <w:pPr>
              <w:spacing w:after="20"/>
              <w:ind w:left="86" w:hanging="86"/>
            </w:pPr>
            <w:r>
              <w:rPr>
                <w:sz w:val="16"/>
              </w:rPr>
              <w:t xml:space="preserve">• The fiscal-calendar runway warning warns but does not create the next year, so an entity that ignores it still runs out.</w:t>
            </w:r>
          </w:p>
          <w:p w:rsidR="00A62A3E" w:rsidRDefault="00000000">
            <w:pPr>
              <w:spacing w:after="20"/>
              <w:ind w:left="86" w:hanging="86"/>
            </w:pPr>
            <w:r>
              <w:rPr>
                <w:sz w:val="16"/>
              </w:rPr>
              <w:t xml:space="preserve">• Control accounts are resolved by code, so renaming a code in a customised chart stops the dependent postings until it is corrected. The failure is loud, which is the intent, but it is a runtime failure rather than a configuration-time one.</w:t>
            </w:r>
          </w:p>
          <w:p w:rsidR="00A62A3E" w:rsidRDefault="00000000">
            <w:pPr>
              <w:spacing w:after="20"/>
              <w:ind w:left="86" w:hanging="86"/>
            </w:pPr>
            <w:r>
              <w:rPr>
                <w:sz w:val="16"/>
              </w:rPr>
              <w:t xml:space="preserve">• School domain integration is incomplete where a finance record needs academic ownership, tracked against Modules 11 to 16. That is a separate matter from branch scope, which FR-019 to FR-021 record and whose one open gap is stated above.</w:t>
            </w:r>
          </w:p>
          <w:p w:rsidR="00A62A3E" w:rsidRDefault="00000000">
            <w:pPr>
              <w:spacing w:after="20"/>
              <w:ind w:left="86" w:hanging="86"/>
            </w:pPr>
            <w:r>
              <w:rPr>
                <w:sz w:val="16"/>
              </w:rPr>
              <w:t>• Archiving does not revoke stored evidence. core.media.revoke exists for a caller that retires a record by archiving it rather than deleting it; no finance path calls it yet.</w:t>
            </w:r>
          </w:p>
          <w:p w:rsidR="00A62A3E" w:rsidRDefault="00000000">
            <w:pPr>
              <w:spacing w:after="20"/>
              <w:ind w:left="86" w:hanging="86"/>
            </w:pPr>
            <w:r>
              <w:rPr>
                <w:sz w:val="16"/>
              </w:rPr>
              <w:t>• The direct-post routes for journals and expense claims refuse a post only while a stage of the resolved ladder would apply. Where the ladder has no steps the document posts with no confirmation and no POSTED_WITHOUT_APPROVAL record, although the same document sent through submit is refused, and Module 20's four adjustment types ask for the confirmation on both routes.</w:t>
            </w:r>
          </w:p>
        </w:tc>
      </w:tr>
    </w:tbl>
    <w:p w:rsidR="00A62A3E" w:rsidRDefault="00000000">
      <w:pPr>
        <w:pStyle w:val="Heading1"/>
        <w:keepNext/>
        <w:pBdr>
          <w:bottom w:val="single" w:sz="14" w:space="5" w:color="355B9D"/>
        </w:pBdr>
      </w:pPr>
      <w:r>
        <w:t>10. MRD Traceability</w:t>
      </w:r>
    </w:p>
    <w:p w:rsidR="00A62A3E" w:rsidRDefault="00000000">
      <w:pPr>
        <w:spacing w:after="120"/>
      </w:pPr>
      <w:r>
        <w:t>Module 19 carries 26 capability entries in MRD v2.76. Each maps to the requirements below.</w:t>
      </w:r>
    </w:p>
    <w:tbl>
      <w:tblPr>
        <w:tblW w:w="10468" w:type="dxa"/>
        <w:jc w:val="center"/>
        <w:tblLayout w:type="fixed"/>
        <w:tblLook w:val="04A0" w:firstRow="1" w:lastRow="0" w:firstColumn="1" w:lastColumn="0" w:noHBand="0" w:noVBand="1"/>
      </w:tblPr>
      <w:tblGrid>
        <w:gridCol w:w="6000"/>
        <w:gridCol w:w="4468"/>
      </w:tblGrid>
      <w:tr w:rsidR="00A62A3E">
        <w:trPr>
          <w:tblHeader/>
          <w:jc w:val="center"/>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Requirements</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entities and books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FR-001, FR-016, FR-019, FR-020</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Chart of accounts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FR-001</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Fiscal years and periods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 FR-005</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Journals, posting, and reversal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 FR-003</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Direct entries and balance validation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 FR-003</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Period close, reopen, and lock</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FR-005</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Trial balance and financial statements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FR-006, FR-019</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dashboard and summaries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FR-006, FR-019</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 accounts and reconciliation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FR-007, FR-019, FR-020</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Cost centers and dimensions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FR-001, FR-016</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Expense claims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FR-008, FR-019, FR-020</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Petty cash</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FR-009, FR-019, FR-020</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Tax and remittance records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FR-011, FR-019</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Payroll processing records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FR-010, FR-019, FR-021</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Budgets and budget controls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FR-012</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Fixed assets and depreciation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FR-013, FR-019, FR-020</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settings and audit trail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FR-014</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exports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FR-014</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Accounting-date integrity guards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Historical as-of receivables reporting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 FR-006</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Fiscal-calendar runway warning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FR-015</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Registered close checks from dependent apps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FR-017, FR-018</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One-call books provisioning service</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FR-018</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primary set of books per tenant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FR-016, FR-018</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Authorised, expiring access to expense receipts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FR-008, FR-016</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Concurrency-safe settlement of receipts and expense claims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FR-008</w:t>
            </w:r>
          </w:p>
        </w:tc>
      </w:tr>
    </w:tbl>
    <w:p w:rsidR="00A62A3E" w:rsidRDefault="00000000">
      <w:pPr>
        <w:spacing w:after="120"/>
      </w:pPr>
      <w:r>
        <w:t>All 26 entries are traced above. Module number, name, phase, backend and in-use states and code ownership agree with MRD v2.76. The MRD's Module 19 note, Module 4's FRD and this document agree on what is open: the branch narrowing has landed on every branch-bearing read and write here, bank accounts reached by id among them, and the financial statements are the one surface it has not reached.</w:t>
      </w:r>
    </w:p>
    <w:p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trPr>
          <w:tblHeade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Summary</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1.10</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13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Adds built-in decision layouts for journal entries and expense claims. Their summaries stay concise while narration, purpose and line detail are frozen with the workflow instance. FR-003, FR-008 and the API contract are reconciled to MRD v2.81. Backend and local frontend rendering are evidenced; deployment and production adoption are not evidenced.</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1.9</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11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Reconciled the ledger with the backend at 13675db. Bank accounts reached by id were not narrowed to the caller's branches although the list was, so a bursar covering one branch could read, rename, import onto and reconcile another branch's account by typing its id; every account, statement and statement-line route resolves through one narrowed resolver and answers 404 as for an unknown id, which FR-019 records. FR-007 records that a statement import is filed under its account's branch, where every batch had carried none. FR-003 records the reversal contract: an approval decision on a journal or expense claim can be withdrawn only before posting, and undoing a rejection or return puts the document back to pending approval. FR-021 records the optional link from a salary row to the employee's account, resolved only inside the entity's tenant, and that no finance test covers it. FR-016 records that creating a set of books is a platform act. A new further gap records that the journal and expense-claim direct posts do not ask for the confirmation a ladder with no steps requires, where the adjustment routes and every submit route do. Traceability is reconciled to MRD v2.76; its lead had named 25 entries and its closing note 24 while the table carries 26. Backend evidence only; nothing here is deployed.</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1.8</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5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start w:w="90" w:type="dxa"/>
              <w:end w:w="90" w:type="dxa"/>
            </w:tcMar>
            <w:vAlign w:val="center"/>
          </w:tcPr>
          <w:p w:rsidR="00A62A3E" w:rsidRDefault="00000000">
            <w:pPr>
              <w:spacing w:after="0" w:before="0" w:line="240" w:lineRule="auto"/>
              <w:jc w:val="left"/>
            </w:pPr>
            <w:r>
              <w:rPr>
                <w:rFonts w:ascii="Aptos Narrow" w:hAnsi="Aptos Narrow"/>
                <w:b w:val="0"/>
                <w:color w:val="000000"/>
                <w:sz w:val="16"/>
              </w:rPr>
              <w:t>Moved the seeded expense-claim ladder off a role CodeX created and onto an approver group the tenant composes. Provisioning creates the group empty, so the first claim still parks rather than approving itself, and no finance-expense-claim-approver role is created in any tenant. A tenant that has published no ladder resolves to a shared platform row carrying no steps and is refused with APPROVAL_NOT_CONFIGURED, which the existing direct-post gate already recorded against whoever confirms past it.</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1.7</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 Sep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Closed a lost update in settlement and recorded the branch rule reaching reference lookups. Two settlements of the same document raised at the same moment each read the balance before either wrote, so both applied it in full and the ledger credited twice what the document recorded; the document is now re-read under a row lock inside the transaction that books it, which FR-008 states for expense claims and Module 17's FR-004 states for receipts. FR-019 gains the reference resolvers: the lists were branch-filtered and the four resolvers behind them were not, so a branch-posted caller could reach another branch's row by naming its code.</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1.6</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29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Recorded the finance abstraction layer as the school layer's only route into these books, and named it against FR-018: a school's entity is provisioned through provision_books rather than by creating a ledger entity directly, so the chart of accounts, the fiscal periods and the registered approval ladders arrive with it. No requirement, acceptance rule or service changes, and the capability count is unchanged; MRD v2.45 corrects its own index, which had understated this module by one entry. Reconciled to MRD v2.45.</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1.5</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27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Closes the current limit FR-008 has carried since v1.2. A receipt URL was a capability rather than an authorisation: the media endpoint authenticated the caller and served any file whose name it was given, so a link that escaped the people allowed to see the claim stayed fetchable by any account on any tenant, for ever. The stored file now records the school it belongs to and the claim line it is evidence for, and a read is refused unless the session, a signature issued to that caller, the file's own school and the claim's read rule all agree - the claimant for her own receipt, finance.expenseclaim.view scoped to the claim's branch for anybody else. URLs expire. Receipts already on the server are bound by migration; one gap replaces the old one, recorded under Needs Attention: archiving a claim does not retire its receipt, because only deletion raises the signal.</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1.4</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24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Records branch scoping, the one dimension this module enforces and had never documented. Nothing in v1.3 was wrong; it was silent. Finance's reads have narrowed to the caller's branches and its writes have stamped the branch a document was raised at since 20 August, and neither appeared anywhere in the document. Three requirements are added. FR-019 records the read half: the rule lives once in the platform scoping module, promoted from procurement's local helper rather than copied so the two cannot drift, and is applied at 49 view methods across ten finance modules, with the inclusive reading of an empty branch spelled out at every call site. FR-020 records the write half: a caller pinned to one branch stamps it, a caller pinned to several who names none is refused rather than defaulted, naming a branch outside one's own set is refused, an unpinned caller writes school-wide, and a document continuing a chain takes its branch from the source and from nothing else. Inheritance also closed a write-side hole, where the customer and petty-cash fund lookups were not branch-filtered and a Lekki bursar could name an Ikeja family by code, and three propagation paths that were missing rather than deliberately empty are joined up, the gateway receipt among them, which is how most parents actually pay. FR-021 records per-branch payroll: the scope is a school setting defaulting to central, so nothing changes until a school opts in; a branch run reads its branch exclusively, because an inclusive reading would pay an unassigned person once per branch; the switch is refused while anybody active is unassigned, and the refusal names them; and the salary lookup, which had been entity-scoped only so an Ikeja officer could rewrite a Lekki teacher's gross pay, is narrowed with it. Section 2.3 states the reading of an empty branch and records plainly that Module 22 reads it exclusively and is also correct, so a later reader does not treat one as a bug; Section 5.4 tabulates where a document's branch comes from. Needs Attention is restated as current state and led by this module's open gap: the financial statements are not narrowed, so Ikeja's bursar opens the income statement and reads all three branches' surplus. That was named and deferred rather than overlooked, and it needs a design round of its own because the statements aggregate ledger lines through several relation paths. FR-019 carries it as its own limit and is this document's first requirement in the Implemented with limits state; FR-006 and FR-016 gain cross-references. No existing requirement changed state, because v1.3's requirements were true when written and remain true. Traceability is retraced against MRD v2.25 and gains the two capability entries the count of 24 had always included but the table had never listed. Reconciled with Module 4 v1.2, which owns the branch rule and carries the same statements gap at P2.</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22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Corrected FR-016, which claimed a boundary the code did not hold. Its evidence said every endpoint resolves the entity from the request and filters on it, and its current limit said None. The list endpoint did neither: GET /entities/ skipped its tenant filter whenever the caller's tenant kind was PLATFORM, so it started from a global queryset for exactly the callers with the most reach, while resolve_entity granted no such exemption. The console listed every school's set of books and then answered "No ledger entity matches" on each one, so the disclosure presented itself as a broken picker. visible_entities() is now the single authority both paths read, and FR-016 states the rule the module actually enforces: scope follows the asserted tenant, seniority does not widen it, and cross-tenant reading is done by proxying a user who holds the key there. A test asserting that platform staff see every entity had been holding the old behaviour in place; it now asserts the rule, and a new class covers the boundary on both paths, by code and by primary key, in both directions. Retraced against MRD v2.22 and its corrected count of 24 capability entries.</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15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Corrected FR-008's upload contract. An expense-claim line receipt was stored with no validation of any kind, so an unsupported or oversized file was refused only by the storage layer, which answers with a server error rather than a field error, and nothing ever checked that a file's contents matched its extension. Receipts now go through the checker shared with the platform's other upload endpoints. Records the capability-URL boundary on receipt files as a current limit, and updates traceability to MRD v2.15.</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Recorded the close-check registry and the entity provisioning seam (FR-017, FR-018). The AP and GR/IR reconciliations previously reached a close only through an argument nothing in the product passed, so every close ran without them; Section 9's open risk narrows to the force flag that remains. Retraced against MRD v2.12.</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First functional baseline for Module 19, written against the backend at 3ba18f8. Records the posting guards as the single enforcement point, the accounting-date integrity rules, the four-state period lock and its checklist, reporting off maintained balances, bank reconciliation, the expense-claim, petty-cash, payroll, tax, budget and fixed-asset cycles, and the boundary against Modules 17 and 20, which share this application but not this module.</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Finance &amp; Accounting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Finance &amp; Accounting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XVS M19 Finance and Accounting Functional Requirements Document v1.9</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M19 Finance and Accounting Functional Requirements Document v1.9</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1.9</cp:version>
</cp:coreProperties>
</file>