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23: Purchase Orders, Delivery &amp; AP</w:t>
              <w:br/>
              <w:t>XVision Systems | Code-aligned functional baseline</w:t>
              <w:br/>
              <w:t>Prepared by: CodeX Team     Version: 1.13</w:t>
            </w:r>
          </w:p>
          <w:p w14:paraId="69FD0D28" w14:textId="77777777" w:rsidR="00A62A3E" w:rsidRDefault="00000000">
            <w:pPr>
              <w:spacing w:after="100"/>
            </w:pPr>
            <w:r>
              <w:rPr>
                <w:rFonts w:ascii="Aptos Display" w:hAnsi="Aptos Display"/>
                <w:b/>
                <w:color w:val="FFFFFF"/>
                <w:sz w:val="28"/>
              </w:rPr>
            </w:r>
          </w:p>
          <w:p w14:paraId="2BEE969E" w14:textId="77777777" w:rsidR="00A62A3E" w:rsidRDefault="00000000">
            <w:pPr>
              <w:spacing w:after="180"/>
            </w:pPr>
            <w:r>
              <w:rPr>
                <w:color w:val="FFFFFF"/>
                <w:sz w:val="20"/>
              </w:rPr>
            </w:r>
          </w:p>
          <w:p w14:paraId="7B14F221" w14:textId="77777777" w:rsidR="00A62A3E" w:rsidRDefault="00000000">
            <w:pPr>
              <w:spacing w:after="0"/>
            </w:pPr>
            <w:r>
              <w:rPr>
                <w:b/>
                <w:color w:val="FFFFFF"/>
                <w:sz w:val="19"/>
              </w:rPr>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1.13</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13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implementing embedded approval decision details, 13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 A purchase order submitted for approval now freezes its document-specific header and order lines separately from the summary.</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 ParkedOverrideAcrossDocumentTypesTests proves a real purchase-order submission builds non-empty decision details.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 Vendor invoices and vendor payments now freeze their document-specific headers, line or allocation tables, and optional narration for approval review.</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 ParkedOverrideAcrossDocumentTypesTests proves real vendor-invoice and vendor-payment submissions build non-empty decision details.</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r>
        <w:t>Purchase-chain approval detail contract. Summaries keep vendor and headline amount. Purchase-order details add dates, delivery, terms, reference, subtotal and tax, and order lines; vendor-invoice details add dates, references, match status, subtotal and tax, and invoice lines; vendor-payment details add date, method, reference, withholding tax, net payment and allocations. Optional narration appears only in details.</w:t>
      </w:r>
    </w:p>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v2.78. Each maps to the requirements below. Cancelling a purchase order with a recorded reason is the entry added in that version.</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built-in decision layouts for purchase orders, vendor invoices and vendor payments. Their summaries keep vendor and headline amounts; details add document-specific headers, breakdown amounts, lines and allocations without repeating those summary facts. FR-001, FR-009 and the API contract are reconciled to MRD v2.81. Backend and local frontend rendering are evidenced; deployment and production adoption are not evidenced.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1.12</cp:version>
  <dc:title>XVS M23 Purchase Orders Delivery and AP Functional Requirements Document v1.12</dc:title>
</cp:coreProperties>
</file>