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2.48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2.49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30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import and foreign-key graph between every mounted app in the backend worktree at 3c061c2, read module by module (30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468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v2.49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Integration column is renamed In use and re-derived from the code</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carries no URLs.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13</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16</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21</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25</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22</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so a failed account, role grant, or invitation record leaves no ready-looking parent record.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Module 1 now refuses the creation transaction when its required administrator cannot be provisioned, while onboarding still verifies that the account is active and the school administrator role grants authority before go-live.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v2.49 Documentation Delta</w:t>
      </w:r>
    </w:p>
    <w:p w14:paraId="4C4A5E5A" w14:textId="77777777" w:rsidR="00472341" w:rsidRDefault="00000000">
      <w:pPr>
        <w:spacing w:after="100" w:line="240" w:lineRule="auto" w:before="0"/>
      </w:pPr>
      <w:r>
        <w:rPr>
          <w:rFonts w:ascii="Aptos Narrow" w:hAnsi="Aptos Narrow"/>
          <w:b w:val="0"/>
          <w:color w:val="000000"/>
          <w:sz w:val="18"/>
        </w:rPr>
        <w:t>The Integration column was being read as "has anyone started this?", which is not what it ever measured, and four status cells were painted the wrong colour. This revision renames the column In use, rewrites the status model in plain words, re-derives all 31 states from the import and foreign-key graph between the mounted apps, and repaints every cell from its own value.</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v2.49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column's name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became In use. The old name was read as frontend delivery or as whether work had begun; it measured neither. It asks one question: are the other backend modules that should use this one actually using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Four miscoloured cells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Repainted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9, 11, 13 and 14 showed one status and were painted another, because those four rows took a single colour from the worse of their two states. Module 14 read Backend Complete in the grey of Planned. Every cell is now painted from its own value.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31 states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Re-derived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off the import and foreign-key graph between the mounted apps rather than carried forward. Ten modules move, and nine of those move up: the states had fallen behind the code rather than being wrong when written.</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fail closed; payout routing now has an automatic platform fallback and a release check that names any uncovered entity.</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v2.48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v2.48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2.48</cp:version>
</cp:coreProperties>
</file>