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1.4</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f0fc37e plus the uncommitted branch-invariant work (17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v2.18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inside that School boundary.</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v2.18.</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and logo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and Branch business code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within the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Deleting the Tenant cannot silently delete the School.</w:t>
      </w:r>
    </w:p>
    <w:p>
      <w:pPr>
        <w:spacing w:before="0" w:after="40" w:line="240" w:lineRule="auto"/>
        <w:ind w:left="288" w:hanging="202"/>
      </w:pPr>
      <w:r>
        <w:rPr>
          <w:rFonts w:ascii="Aptos Narrow" w:hAnsi="Aptos Narrow"/>
          <w:b w:val="0"/>
          <w:color w:val="000000"/>
          <w:sz w:val="18"/>
        </w:rPr>
        <w:t>• Branch belongs to exactly one School and uses TenantAwareManager for ambient School-tenant filtering.</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and the code is allocated through the tenant document-number service with the SC prefix.</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responses expose the internal School ID used by scoped configuration endpoints.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The public update serializer does not allow name, slug, or code changes.</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per-School code,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allocates max(code)+1 while locking rows, exposes the database ID in list/detail responses, and creates BranchLifecycle history.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 has PENDING status, an opened timestamp, a code, and an initial lifecycle entry.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database has no unique constraint for (school, code) and no conditional constraint for one main Branch. Serializer checks do not protect direct ORM or all concurrent paths.</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and Branch fields, allow-listed ordering, nested main Branch data, and stable School IDs. Detail returns branding, admins, package setup, and Branches.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SchoolDetailView currently converts unexpected exceptions into a response containing the exception type, message, and traceback. This is unsafe for production.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and optional branding logo. It no longer carries a branch-operating declaration; how many sites a School runs is read from its Branches (FR-018).</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rejected as 'No changes detected' before branding is upserted. School update does not emit the expected platform audit event.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has no defined effect on dependent records, sessions, or Branch-bound users. Lifecycle control is platform-side only: a School administrator cannot transition a Branch of their own School.</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FR-013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and Branch update emit platform audit evidence. Configuration and entitlement changes use a separate immutable configuration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update and reset configuration do not emit the expected platform events. Branch lifecycle history is now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package setup, and audit evidence are not reset.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can cascade Branch data while leaving the protected Tenant relationship as a separate concern.</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staff/student transfer, and Branch deletion must respect ownership and dependent records.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invariant is enforced by the creation serializer, not by the database: nothing stops a direct ORM call from deleting a School's last Branch, and the missing constraints under FR-005 apply here too.</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to School; tenant-aware manager; no database uniqueness for code/main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 GAPS</w:t>
            </w:r>
          </w:p>
          <w:p>
            <w:pPr>
              <w:spacing w:before="0" w:after="40" w:line="240" w:lineRule="auto"/>
            </w:pPr>
            <w:r>
              <w:rPr>
                <w:rFonts w:ascii="Aptos Narrow" w:hAnsi="Aptos Narrow"/>
                <w:b w:val="0"/>
                <w:color w:val="000000"/>
                <w:sz w:val="17"/>
              </w:rPr>
              <w:t>• Add a unique constraint for (school, code) and a conditional unique constraint for one is_main Branch per School.</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or repeated state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Lowercase URL-safe, unique, not reserved; collision suggestions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invalid input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log server-side and return a generic response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code leaks debug details</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School, and Branch without cross-School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plus database constraint coverage once constraints are added.</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w:t>
      </w:r>
    </w:p>
    <w:p>
      <w:pPr>
        <w:spacing w:before="0" w:after="40" w:line="240" w:lineRule="auto"/>
        <w:ind w:left="288" w:hanging="202"/>
      </w:pPr>
      <w:r>
        <w:rPr>
          <w:rFonts w:ascii="Aptos Narrow" w:hAnsi="Aptos Narrow"/>
          <w:b w:val="0"/>
          <w:color w:val="000000"/>
          <w:sz w:val="18"/>
        </w:rPr>
        <w:t>• School update, Branch update, reset, lifecycle, and delete audit evidence.</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Unsafe School detail errors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generic production responses and keep traceback data in server logs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Database Branch constraints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Enforce unique (school, code) and one main Branch per School at the database boundary. This now guards an invariant the product relies on: every School has at least one Branch and exactly one main Branch, and the creation serializer is the only thing holding it.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 FR-018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update and reset audit</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Emit before/after evidence and allow valid branding-only updates.</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FR-009, FR-013, 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v2.18 to the controlling functional requirement in this FRD.</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name-uniqueness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without database uniqueness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without database main-Branch constraint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closed-Branch access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enforced by the serializer, not by the database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v1.3</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1.3</cp:version>
</cp:coreProperties>
</file>