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1.5</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1.5</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18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main at 872904b (18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v2.18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campuses or operating locations inside that School boundary.</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v2.18.</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and logo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 and Branch business code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within the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Deleting the Tenant cannot silently delete the School.</w:t>
      </w:r>
    </w:p>
    <w:p>
      <w:pPr>
        <w:spacing w:before="0" w:after="40" w:line="240" w:lineRule="auto"/>
        <w:ind w:left="288" w:hanging="202"/>
      </w:pPr>
      <w:r>
        <w:rPr>
          <w:rFonts w:ascii="Aptos Narrow" w:hAnsi="Aptos Narrow"/>
          <w:b w:val="0"/>
          <w:color w:val="000000"/>
          <w:sz w:val="18"/>
        </w:rPr>
        <w:t>• Branch belongs to exactly one School and uses TenantAwareManager for ambient School-tenant filtering.</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must be enforced separately in every Branch-sensitive consumer.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and the code is allocated through the tenant document-number service with the SC prefix.</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responses expose the internal School ID used by scoped configuration endpoints.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The public update serializer does not allow name, slug, or code changes.</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SchoolPrimaryAdmin, ContactInfo, User, TenantUserRoleAssignment, InvitationService, and the Celery invitation task form the current path.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unused email produces a School-scoped inactive user with the prebuilt School administrator role and an invitation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The second half of that is what makes closing a main Branch a dead end today; see FR-011 and Section 9.</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 and the shared admin-provisioning service create the current link. Nested School onboarding can reuse the School admin email without creating a duplicate user.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administrator is linked to the target Branch and its School tenant, and the invitation state is visible.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is stored but not enforced during School or Branch creation.</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and Branch fields, allow-listed ordering, nested main Branch data, and stable School IDs. Detail returns branding, admins, package setup, and Branches.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SchoolDetailView currently converts unexpected exceptions into a response containing the exception type, message, and traceback. This is unsafe for production.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and optional branding logo. It no longer carries a branch-operating declaration; how many sites a School runs is read from its Branches (FR-018).</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rejected as 'No changes detected' before branding is upserted. School update does not emit the expected platform audit event.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staff authorization still requires explicit Branch filtering in every dependent domain; tenant filtering alone is only a School boundary.</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School's main Branch is a dead end. Nothing demotes is_main when a Branch closes and nothing refuses the close, so School.main_branch is left pointing at a closed Branch and no replacement can be promoted: the creation serializer and uq_branch_one_main_per_tenant both refuse a second main Branch, and CLOSED is terminal. Beyond that, closing a Branch has no defined effect on dependent records, sessions, or Branch-bound users, and lifecycle control is platform-side only: a School administrator cannot transition a Branch of their own School.</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and endpoints declare platform permission keys. Authentication now admits a Tenant that is ACTIVE or PENDING, so a School that has not gone live can sign in; what such a caller may reach is decided per view by a surface allowlist that is closed by default, and everything outside it answers 403 with a code of its 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Branch-bound roles receive only authorized Branch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jobs require explicit scoping and Branch-level filtering is not universal across dependent applications.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FR-013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and Branch update emit platform audit evidence. Configuration and entitlement changes use a separate immutable configuration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update and reset configuration do not emit the expected platform events. Branch lifecycle history is now written on every successful transition.</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non-empty token passes. Entitlements, configuration values, overrides, localization, package setup, and audit evidence are not reset.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can cascade Branch data while leaving the protected Tenant relationship as a separate concern.</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staff/student transfer, and Branch deletion must respect ownership and dependent records.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enforced by the creation serializer, not by the database: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demotes is_main when a Branch closes and nothing refuses the close, so a School can be left with a closed main Branch that cannot be replaced.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 to close a main Branch while the Tenant still has another, and require the replacement to be made main first. Decided; not implemented.</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Campus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with no school column of its own; tenant-aware manager; unique code per Tenant and one main Branch per Tenant enforced by database constraints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or repeated state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Lowercase URL-safe, unique, not reserved; collision suggestions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 on invalid input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Must not already belong to a User except the deliberate nested School-admin reuse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Must log server-side and return a generic response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code leaks debug details</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School, and Branch without cross-School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w:t>
      </w:r>
    </w:p>
    <w:p>
      <w:pPr>
        <w:spacing w:before="0" w:after="40" w:line="240" w:lineRule="auto"/>
        <w:ind w:left="288" w:hanging="202"/>
      </w:pPr>
      <w:r>
        <w:rPr>
          <w:rFonts w:ascii="Aptos Narrow" w:hAnsi="Aptos Narrow"/>
          <w:b w:val="0"/>
          <w:color w:val="000000"/>
          <w:sz w:val="18"/>
        </w:rPr>
        <w:t>• School update, Branch update, reset, lifecycle, and delete audit evidence.</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Unsafe School detail errors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Return generic production responses and keep traceback data in server logs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FR-008</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Closing a main Branch is a dead end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School that shuts its main campus is left with School.main_branch pointing at a closed Branch and no way to promote a replacement. Refuse to close a main Branch while the Tenant has another Branch, and tell the caller to make another Branch main first. Decided and in progress; not implemented as this version is issued, and test_closing_the_only_main_branch_leaves_the_tenant_without_one asserts the dead end today.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FR-005, FR-011, FR-018</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update and reset audit</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Emit before/after evidence and allow valid branding-only updates.</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FR-009, FR-013, 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Declare reset scope, bind confirmation to School, and restore inherited state safely.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Package Branch capacity</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Enforce max_branch or remove it from the active product contract.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v2.18 to the controlling functional requirement in this FRD.</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name-uniqueness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 max_branch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reconciliation gap</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unique per Tenant at the database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one main Branch per Tenant enforced at the database, but closing that Branch is not yet refused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closed-Branch access limits and the main-Branch closure dead end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Partial at Branch-bound authorization layer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Partial; branding-only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v1.5</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1.5</cp:version>
</cp:coreProperties>
</file>