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1.7</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1.7</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18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0699ada (18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v2.18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campuses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v2.18.</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p>
            <w:pPr>
              <w:spacing w:before="0" w:after="40" w:line="240" w:lineRule="auto"/>
            </w:pPr>
            <w:r>
              <w:rPr>
                <w:rFonts w:ascii="Aptos Narrow" w:hAnsi="Aptos Narrow"/>
                <w:b w:val="0"/>
                <w:color w:val="000000"/>
                <w:sz w:val="17"/>
              </w:rPr>
              <w:t>• A School's canonical site and its sign-in address are now both protected. The main Branch can no longer be taken out of service, the designation is handed over instead of stranded, and a School that has been live cannot move the address its users sign in at.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must be enforced separately in every Branch-sensitive consumer.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responses expose the internal School ID used by scoped configuration endpoints.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SchoolPrimaryAdmin, ContactInfo, User, TenantUserRoleAssignment, InvitationService, and the Celery invitation task form the current path.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unused email produces a School-scoped inactive user with the prebuilt School administrator role and an invitation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the School admin email without creating a duplicate user.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branding, admins, package setup, and Branches.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SchoolDetailView currently converts unexpected exceptions into a response containing the exception type, message, and traceback. This is unsafe for production.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rejected as 'No changes detected' before branding is upserted. School update still does not emit the expected platform audit event, which now covers a change of sign-in address as well as metadata.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The update path also carries the main-Branch handover: is_main routes through Branch.promote_to_main() rather than a plain attribute write, and clearing the flag on the sole main Branch is refused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staff authorization still requires explicit Branch filtering in every dependent domain; tenant filtering alone is only a School boundary.</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now admits a Tenant that is ACTIVE or PENDING, so a School that has not gone live can sign in; what such a caller may reach is decided per view by a surface allowlist that is closed by default, and everything outside it answers 403 with a code of its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Branch-bound roles receive only authorized Branch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jobs require explicit scoping and Branch-level filtering is not universal across dependent applications.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FR-013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and Branch update emit platform audit evidence. Configuration and entitlement changes use a separate immutable configuration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update and reset configuration do not emit the expected platform events. Branch lifecycle history is now written on every successful transition.</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package setup, and audit evidence are not reset.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and unaudited: there is no operator path to move a live School's address deliberately with redirects or a grace period, and the pre-go-live correction that is permitted emits no platform audit event, because School update emits none at all (FR-009, FR-013).</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 the slug is mirrored too while the School has never been live, and frozen once it has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 the slug is the sign-in subdomain, may not be a reserved platform hostname, and cannot move once the Tenant has been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Campus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log server-side and return a generic response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Current code leaks debug details</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reset, lifecycle, and delete audit evidence.</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Unsafe School detail errors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Return generic production responses and keep traceback data in server logs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FR-008</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update and reset audit</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Emit before/after evidence and allow valid branding-only updates. The School update path now also moves the sign-in address, which is written with no platform audit event at all.</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FR-009, FR-013, 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v2.18 to the controlling functional requirement in this FRD. The last two rows have no MRD entry yet: MRD v2.18 was issued before this version's work and does not describe them.</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at Branch-bound authorization layer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Not yet an MRD entry: main-Branch handover and 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MRD v2.18 lists main-Branch designation only and predates both the handover and the refusal to retire the holder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Not yet an MRD entry: School sign-in address governance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MRD v2.18 has no entry for reserved platform hostnames or the go-live address freeze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2026-08-18T09:00:00Z</dcterms:modified>
  <cp:version>1.6</cp:version>
</cp:coreProperties>
</file>