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1.8</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1.8</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18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ff94c26 (18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v2.19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campuses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v2.19.</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p>
            <w:pPr>
              <w:spacing w:before="0" w:after="40" w:line="240" w:lineRule="auto"/>
            </w:pPr>
            <w:r>
              <w:rPr>
                <w:rFonts w:ascii="Aptos Narrow" w:hAnsi="Aptos Narrow"/>
                <w:b w:val="0"/>
                <w:color w:val="000000"/>
                <w:sz w:val="17"/>
              </w:rPr>
              <w:t>• A School's canonical site and its sign-in address are now both protected. The main Branch can no longer be taken out of service, the designation is handed over instead of stranded, and a School that has been live cannot move the address its users sign in at.</w:t>
            </w:r>
          </w:p>
          <w:p>
            <w:pPr>
              <w:spacing w:before="0" w:after="40" w:line="240" w:lineRule="auto"/>
            </w:pPr>
            <w:r>
              <w:rPr>
                <w:rFonts w:ascii="Aptos Narrow" w:hAnsi="Aptos Narrow"/>
                <w:b w:val="0"/>
                <w:color w:val="000000"/>
                <w:sz w:val="17"/>
              </w:rPr>
              <w:t>• Every supported write on this module is now audited, and an audit failure can no longer destroy the change it describes. School update and configuration reset emit the evidence they never emitted, and emit_audit_event writes inside its own savepoint, so a failing audit row rolls back to that savepoint rather than marking the caller's transaction for rollback.</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responses expose the internal School ID used by scoped configuration endpoints.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SchoolPrimaryAdmin, ContactInfo, User, TenantUserRoleAssignment, InvitationService, and the Celery invitation task form the current path.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unused email produces a School-scoped inactive user with the prebuilt School administrator role and an invitation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the School admin email without creating a duplicate user.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branding, admins, package setup, and Branches.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The update path also carries the main-Branch handover: is_main routes through Branch.promote_to_main() rather than a plain attribute write, and clearing the flag on the sole main Branch is refused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now admits a Tenant that is ACTIVE or PENDING, so a School that has not gone live can sign in; what such a caller may reach is decided per view by a surface allowlist that is closed by default, and everything outside it answers 403 with a code of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and package setup are not reset, so the recorded before/after pair describes branding and nothing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Campus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Branch lifecycle and School delete evidence remain to be written.</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v2.19 to the controlling functional requirement in this FRD. Every row now has an MRD entry. MRD v2.19 adds the three Module 1 capabilities this document had recorded ahead of it, so no deliberate disagreement between the two documents remains.</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Branch lifecycle transitions record in BranchLifecycle only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2026-08-18T09:00:00Z</dcterms:modified>
  <cp:version>1.6</cp:version>
</cp:coreProperties>
</file>