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1.0</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rPr>
                <w:color w:val="000000"/>
                <w:sz w:val="17"/>
              </w:rPr>
              <w:t>1.0</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rPr>
                <w:color w:val="000000"/>
                <w:sz w:val="17"/>
              </w:rPr>
              <w:t>15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rPr>
                <w:color w:val="000000"/>
                <w:sz w:val="17"/>
              </w:rPr>
              <w:t>Backend main at ac4df1d, console-fe main at 456c65f (15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rPr>
                <w:color w:val="000000"/>
                <w:sz w:val="17"/>
              </w:rPr>
              <w:t>XVS Module Requirements Document v2.16 | Module 8</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vs_config,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8 is the platform's one way of telling somebody something happened. A domain module raises a named event with a context; this module decides which channels may carry it for that tenant, renders the message for each recipient, writes the in-app record, queues the email, and keeps the outcome. Its organising commitment is that the message an administrator reads in the console is the message the recipient receives: the email markup is stored on the template rather than assembled out of sight at send time.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One shared layout that composes the visual from the message text, and the per-template override that replaces it.</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In-app records written immediately, email queued through Celery with retries and terminal outcomes.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and a tenant's overrides.</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 notification carries a tenant for filtering and history, but a recipient with no school is a first-class target, so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 channel on or off for their own tenant, per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their own tenant</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Raise events and dispatch them.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Events are seeded from one registry and resolved by key at dispatch. An unknown or inactive key raises UnknownEventTypeError rather than sending anything. Each entry declares the channels it supports, its default, and whether it is transactional.</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unregistered key is refused. An event marked inactive dispatches on no channel regardless of any tenant setting. The settings matrix and the catalogue endpoint both list exactly the active registry.</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tenant row over a platform row over the event's own default, in one query for the whole matrix. The effective value and the layer that produced it are both returned, so the console can show provenance rather than an unexplained toggle.</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Building the matrix costs two queries regardless of event count.</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password reset or an invitation that a tenant preference can suppress is a lockout with no route out.</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An event marked transactional bypasses the settings matrix entirely and dispatches on its supported channels. The platform kill switch on the event type still applies.</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the Email Exactly As It Will Be Delivered</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An administrator cannot be asked to trust a design they cannot see. Markup assembled at send time exists nowhere they can read it, and changing it means changing code.</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The composed markup is stored on the template with its placeholders intact, and dispatch renders that column. What the console shows and what the recipient receives are the same string with values substituted.</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Every active email template holds markup containing its placeholders. A record created by dispatch carries the rendered form of the stored markup. Editing the stored markup changes the next email sent.</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In-app templates hold no markup: the feed renders the subject and body itself.</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A template carries a flag saying who maintains its markup. While it is false the markup is regenerated from the shared layout on every save; the first hand edit sets it, after which the markup is kept verbatim. Clearing it restores the standard design.</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Changing the message of a standard template changes its markup. Changing the message of a hand-edited one does not. Saving the regenerated standard markup back is not treated as a hand edit, so an editor that posts its whole form cannot freeze a template by accident.</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HTML path renders with escaping on: the markup is trusted because staff wrote it, the values substituted into it are not. Subject and plain-text bodies render with escaping off, because escaping there would put entities in front of a reader.</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A context value containing a script tag appears escaped in the delivered HTML and is not executable. This holds for hand-written markup as well, because the rule is in the render rather than in the layout.</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Preview renders through the same path dispatch uses and needs no payload: sample values are generated from the placeholders the template itself uses. It also accepts unsaved editor content, so the console re-renders as an author types, and returns the markup alongside the rendered copy.</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A preview of any active template returns a complete HTML document. Preview writes nothing: no record is created and no mail is sent. Supplying context overrides the generated samples for those keys only.</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The feed is ordered unread first, then newest first within each group. The read-state filter narrows to one group for the console's tabs, and the unread count drives the badge.</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An unfiltered feed returns unread records before read ones. The order is covered by the existing recipient, channel, read-state and time index.</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One record is written per recipient per channel, holding the rendered content at the time it was sent. Email moves from PENDING to SENT or FAILED through a Celery task with configurable retries; a failure detected before queueing is recorded as FAILED with its reason and fires the same terminal signal.</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History carries status, retry count and failure reason, scoped to the reader's tenant, and requires at least one filter so the whole log cannot be dumped. Rendered content is stored, so history stays true after a template is edited.</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SENT means the mail was accepted for delivery, not that it reached an inbox. Bounces are not tracked.</w:t>
            </w:r>
          </w:p>
        </w:tc>
      </w:tr>
    </w:tbl>
    <w:p w14:paraId="32BD20E4"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Channels are resolved for the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Tenant row, then platform row, then the event default. Transactional events skip this.</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Subject and body substituted; for email, the stored markup rendered with escaping on.</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In-app is SENT immediately. Email is PENDING. A missing address is FAILED before queueing.</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Queued through on_commit, so a rolled-back transaction never sends a phantom message.</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shared layout whenever the message changes.</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Unique per event and channel.</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plus a platform row with no tenant. Constrained so each layer holds at most one.</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Notification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Holds the rendered content, the status, the failure reason and retry count. Its metadata is internal and is exposed by no serializer.</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and history are scoped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Mark read what the visited destination covers.</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scope, and overrides by event and channel.</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At least one filter is required.</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recipients and their tenant. Email-only recipients with no account are supported for invitations.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Carries email delivery. In-app needs neither, so the feed keeps working when the broker does not.</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DESIGN IS NO LONGER OUT OF REACH</w:t>
            </w:r>
          </w:p>
          <w:p w14:paraId="7DFD61F2" w14:textId="77777777" w:rsidR="00A62A3E" w:rsidRDefault="00000000">
            <w:pPr>
              <w:keepNext/>
              <w:spacing w:after="40"/>
            </w:pPr>
            <w:r>
              <w:rPr>
                <w:b/>
                <w:color w:val="94670A"/>
                <w:sz w:val="17"/>
              </w:rPr>
              <w:t>• Five templates carried a hand-written HTML document each and the rest sent plain text, so most mail from the platform was unformatted and none of the design could be read or changed outside the code.</w:t>
            </w:r>
          </w:p>
          <w:p w14:paraId="7DFD61F2" w14:textId="77777777" w:rsidR="00A62A3E" w:rsidRDefault="00000000">
            <w:pPr>
              <w:keepNext/>
              <w:spacing w:after="40"/>
            </w:pPr>
            <w:r>
              <w:rPr>
                <w:b/>
                <w:color w:val="94670A"/>
                <w:sz w:val="17"/>
              </w:rPr>
              <w:t>• Values substituted into markup were not escaped, so a name or a reason carrying HTML would have reached the recipient as markup.</w:t>
            </w:r>
          </w:p>
          <w:p w14:paraId="7DFD61F2" w14:textId="77777777" w:rsidR="00A62A3E" w:rsidRDefault="00000000">
            <w:pPr>
              <w:keepNext/>
              <w:spacing w:after="40"/>
            </w:pPr>
            <w:r>
              <w:rPr>
                <w:b/>
                <w:color w:val="94670A"/>
                <w:sz w:val="17"/>
              </w:rPr>
              <w:t>• Notification search never reached the server, so page counts described the unsearched list, and records sharing a dispatch timestamp could repeat or vanish between pages.</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1EDC1ED2" w14:textId="77777777" w:rsidR="00A62A3E" w:rsidRDefault="00000000">
            <w:pPr>
              <w:keepNext/>
              <w:spacing w:after="40"/>
            </w:pPr>
            <w:r>
              <w:rPr>
                <w:b/>
                <w:color w:val="94670A"/>
                <w:sz w:val="17"/>
              </w:rPr>
              <w:t>• A hand-edited template stops inheriting design changes until it is reset to the standard layout.</w:t>
            </w:r>
          </w:p>
          <w:p w14:paraId="1EDC1ED2" w14:textId="77777777" w:rsidR="00A62A3E" w:rsidRDefault="00000000">
            <w:pPr>
              <w:keepNext/>
              <w:spacing w:after="40"/>
            </w:pPr>
            <w:r>
              <w:rPr>
                <w:b/>
                <w:color w:val="94670A"/>
                <w:sz w:val="17"/>
              </w:rPr>
              <w:t>• Delivery preferences are per tenant. A person cannot mute a single event for themselves.</w:t>
            </w:r>
          </w:p>
          <w:p w14:paraId="1EDC1ED2" w14:textId="77777777" w:rsidR="00A62A3E" w:rsidRDefault="00000000">
            <w:pPr>
              <w:keepNext/>
              <w:spacing w:after="40"/>
            </w:pPr>
            <w:r>
              <w:rPr>
                <w:b/>
                <w:color w:val="94670A"/>
                <w:sz w:val="17"/>
              </w:rPr>
              <w:t>• SENT records acceptance by the mail provider, not arrival. Bounces and complaints are not tracked.</w:t>
            </w:r>
          </w:p>
          <w:p w14:paraId="1EDC1ED2" w14:textId="77777777" w:rsidR="00A62A3E" w:rsidRDefault="00000000">
            <w:pPr>
              <w:keepNext/>
              <w:spacing w:after="40"/>
            </w:pPr>
            <w:r>
              <w:rPr>
                <w:b/>
                <w:color w:val="94670A"/>
                <w:sz w:val="17"/>
              </w:rPr>
              <w:t>• There is no digest or batching: a hundred events raise a hundred messages.</w:t>
            </w:r>
          </w:p>
          <w:p w14:paraId="1EDC1ED2" w14:textId="77777777" w:rsidR="00A62A3E" w:rsidRDefault="00000000">
            <w:pPr>
              <w:keepNext/>
              <w:spacing w:after="40"/>
            </w:pPr>
            <w:r>
              <w:rPr>
                <w:b/>
                <w:color w:val="94670A"/>
                <w:sz w:val="17"/>
              </w:rPr>
              <w:t>• Conversation threads, replies, attachments on a notification, muting, SMS and scheduled send are not implemented anywhere, and are not planned in this module.</w:t>
            </w:r>
          </w:p>
          <w:p w14:paraId="1EDC1ED2" w14:textId="77777777" w:rsidR="00A62A3E" w:rsidRDefault="00000000">
            <w:pPr>
              <w:keepNext/>
              <w:spacing w:after="40"/>
            </w:pPr>
            <w:r>
              <w:rPr>
                <w:b/>
                <w:color w:val="94670A"/>
                <w:sz w:val="17"/>
              </w:rPr>
              <w:t>• Preview samples are representative values, not one recipient's real data.</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8 carries 20 capability entries in MRD v2.16.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FR-003, FR-010</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Email notification delivery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FR-012</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 FR-006</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FR-012</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tasks and retries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cp:coreProperties>
</file>