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1.1</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23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Backend worktree at a29ed92 and console-fe worktree at 34f7c2d (23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v2.23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vs_config,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Its organising commitment is that the message an administrator reads in the console is the message the recipient receives: the email markup is stored on the template rather than assembled out of sight at send time.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layout that composes the visual from the message text, and the per-template override that replaces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In-app records written immediately, email queued through Celery with retries and terminal outcomes.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 notification carries a tenant for filtering and history, but a recipient with no school is a first-class target, so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their own tenant</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Raise events and dispatch them.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Events are seeded from one registry and resolved by key at dispatch. An unknown or inactive key raises UnknownEventTypeError rather than sending anything. Each entry declares the channels it supports, its default, and whether it is transactional.</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unregistered key is refused. An event marked inactive dispatches on no channel regardless of any tenant setting. The settings matrix and the catalogue endpoint both list exactly the active registry.</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password reset or an invitation that a tenant preference can suppress is a lockout with no route out.</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An event marked transactional bypasses the settings matrix entirely and dispatches on its supported channels. The platform kill switch on the event type still applies.</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the Email Exactly As It Will Be Delivered</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An administrator cannot be asked to trust a design they cannot see. Markup assembled at send time exists nowhere they can read it, and changing it means changing code.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The composed markup is stored on the template with its placeholders intact, and dispatch renders that column. What the console shows and what the recipient receives are the same string with values substituted.</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Every active email template holds markup containing its placeholders. A record created by dispatch carries the rendered form of the stored markup. Editing the stored markup changes the next email sent.</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In-app templates hold no markup: the feed renders the subject and body itself.</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the regenerated standard markup back is not treated as a hand edit, so an editor that posts its whole form cannot freeze a template by accident.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One record is written per recipient per channel, holding the rendered content at the time it was sent. Email moves from PENDING to SENT or FAILED through a Celery task with configurable retries; a failure detected before queueing is recorded as FAILED with its reason and fires the same terminal signal.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History carries status, retry count and failure reason, scoped to the reader's tenant, and requires at least one filter so the whole log cannot be dumped. Rendered content is stored, so history stays true after a template is edited.</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SENT means the mail was accepted for delivery, not that it reached an inbox. Bounces are not tracked.</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Channels are resolved for the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Tenant row, then platform row, then the event default.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Subject and body substituted; for email, the stored markup rendered with escaping on.</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In-app is SENT immediately. Email is PENDING. A missing address is FAILED before queueing.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Queued through on_commit, so a rolled-back transaction never sends a phantom message.</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shared layout whenever the message changes.</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Notification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Holds the rendered content, the status, the failure reason and retry count. Its metadata is internal and is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recipients and their tenant. Email-only recipients with no account are supported for invitations.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Carries email delivery. In-app needs neither, so the feed keeps working when the broker does not.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8 carries 21 capability entries in MRD v2.23.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FR-003, FR-010</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Email notification delivery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FR-012</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FR-012</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