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17: Billing &amp; Invoicing</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M17 | Billing &amp; Invoicing</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17</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vs_payments, vs_notifications, vs_rbac, vs_audit, vs_exports,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The receivable cycle, and why it names no student</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Domain neutrality, money and dates,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bill, collect, allocate, and chase</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Invoice, payment, plan, and dunning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receivable records and their postings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Ledger, gateway, notification, and export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17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17 is the accounts-receivable engine: what a customer owes, how it was billed, what they paid, and what is still outstanding. It is deliberately domain-neutral. It speaks of customers, invoices, fee structures and payments, and it never mentions a student, a guardian or a term. A school fee run is simply a billing source that creates invoices; from that point down it is ordinary double entry.</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payer record every receivable hangs off, and its running credit position.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Fee structures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reusable catalogue of charges, and the bulk run that turns it into posted invoices.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Creation, lines, totals, balances, the posted journal, voiding, and the printable document.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 and receipts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Recording money received, posting it, allocating it across invoices, voiding it, and the printable receipt.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plans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Splitting a receivable into dated installments and tracking progress against them.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Dunning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escalating ladder of reminders keyed to days overdue, and the notice lifecycle.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Receivable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Aging, the sub-ledger against its control account, customer statements, and summaries.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 debit notes, refunds, write-offs, and concessions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 This module bills and collects; that one gives back, charges more, refunds and writes off.</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Invoices and payments post through its service, so its period locks and balance guards apply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Talking to a payment provider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A confirmed gateway collection books a payment here; the provider conversation happens there.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Delivering a reminder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 This module records the notice and its channel; an outer service dispatches it.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the customer is in school terms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future student and guardian domains. Nothing here knows what a class or a term is, and that is the design.</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Two postings carry the whole cycle. An invoice debits the receivable control and credits revenue per line plus output tax. A payment debits bank or cash and credits the receivable control, after which the cash is allocated across invoices, which is a sub-ledger act with no further ledger effect. Everything else in this module is scheduling, chasing, reporting, or presentation.</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Dates</w:t>
      </w:r>
    </w:p>
    <w:p w:rsidR="00A62A3E" w:rsidRDefault="00000000">
      <w:pPr>
        <w:spacing w:after="120"/>
      </w:pPr>
      <w:r>
        <w:t xml:space="preserve">Money is integer kobo throughout, and tax is computed from basis points with a single rounding discipline. Amounts become naira strings only at the display edge, inside the document builders. Every guard validates against the state as at the chosen accounting date rather than as at now, so a backdated receipt cannot settle a bill that did not yet exist.</w:t>
      </w:r>
    </w:p>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Billing clerk</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customers and fee structures, raise and void invoices, run a bulk generation.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finance.customer.*, finance.feestructure.*, finance.invoice.*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Cashier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 payment, allocate it across invoices, issue the receipt document.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finance.payment.* (create is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dunning policies, generate notices, send or cancel them, manage payment plans.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finance.dunning.*, finance.paymentplan.*</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reader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aging, the AR reconciliation, statements, and summaries.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finance audit trail.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Customer Independent of Any Domain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payer must be recordable without the platform knowing what they are in school terms.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customer record is generic and entity-scoped, carries the running credit position, and is the anchor for invoices, payments, statements and the receipt endpoint.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Nothing in the receivable core references a student, guardian, class or term, so a second domain can bill through the same engine unchanged.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other side of that neutrality is Section 9: nothing yet links a customer to a student.</w:t>
            </w:r>
          </w:p>
        </w:tc>
      </w:tr>
    </w:tbl>
    <w:p w:rsidR="00A62A3E" w:rsidRDefault="00000000">
      <w:pPr>
        <w:spacing w:after="0"/>
      </w:pPr>
    </w:p>
    <w:p w:rsidR="00A62A3E" w:rsidRDefault="00000000">
      <w:pPr>
        <w:pStyle w:val="Heading2"/>
        <w:keepNext/>
        <w:pBdr>
          <w:bottom w:val="single" w:sz="8" w:space="5" w:color="355B9D"/>
        </w:pBdr>
      </w:pPr>
      <w:r>
        <w:t>FR-002 Turn a Fee Catalogue Into Real Receivables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reusable set of charges must be able to become one posted invoice per selected customer, in one 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fee structure holds fee items as a template. Generation materialises one invoice per selected customer and posts each through the ordinary receivables path, so it raises the usual journal and appears everywhere invoices already do. A structure can also be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There is no second, quieter way for a fee structure to become money owed: generation is the only one, and it uses the same posting service as a hand-raised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Selection of customers is supplied by the caller; the module has no rule about who should be billed, because that rule belongs to a domain it does not know.</w:t>
            </w:r>
          </w:p>
        </w:tc>
      </w:tr>
    </w:tbl>
    <w:p w:rsidR="00A62A3E" w:rsidRDefault="00000000">
      <w:pPr>
        <w:spacing w:after="0"/>
      </w:pPr>
    </w:p>
    <w:p w:rsidR="00A62A3E" w:rsidRDefault="00000000">
      <w:pPr>
        <w:pStyle w:val="Heading2"/>
        <w:keepNext/>
        <w:pBdr>
          <w:bottom w:val="single" w:sz="8" w:space="5" w:color="355B9D"/>
        </w:pBdr>
      </w:pPr>
      <w:r>
        <w:t>FR-003 Post an Invoice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Raising an invoice must recognise revenue and the receivable together, or not at all.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debits the receivable control and credits revenue per line plus output tax, through the finance posting service, so the period lock and the balance guard apply.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Line totals and the header balance are derived server-side in integer kobo. An invoice cannot post into a closed period.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Record and Allocate a 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received must reach the ledger once, and its application to specific invoices must be separable from that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payment debits bank or cash and credits the receivable control. Allocation across invoices happens afterwards as a sub-ledger act with no further ledger effect, and can be revisited.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Reallocating does not re-post, so correcting which invoice a receipt settles never disturbs the general ledger. Voiding is a separate, permissioned 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Track What Is Still Owed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invoice's outstanding balance must account for cash, credit, and concession alike.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invoice carries settled and credited amounts, so a balance reflects payments allocated to it and non-cash reductions applied by Module 20 through the same fields.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AR reconciliation report demonstrates the cardinal invariant that the sub-ledger equals its control account, and the period close checks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Produce a Branded Invoice and Receipt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customer must be able to be handed a document, not a screenshot.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Document builders turn a posted invoice or payment into a flat context for standalone print templates. Issuer identity comes from the entity's originating school, and the pay-to bank is the entity's primary collection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is formatted to naira strings only here, at the display edge; the backend holds kobo throughout. Platform books have no originating school, so those fields fall back to blanks rather than failing.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FR-007 Schedule a Receivable Into Installments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customer can be given dated installments to pay against, without changing what they owe.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payment plan is a scheduling overlay only and touches no ledger account: the invoice already sits in AR, and the plan records expected dates and amounts so progress, reminders and dunning have something to measure against. Settlement is reflected by distributing the linked invoice's settled amount across installments oldest first.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Activating, refreshing or cancelling a plan raises no journal, so a rescheduling can never alter revenue or the receivable.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plan is derived from one invoice's settlement, so a payment allocated elsewhere does not advance it.</w:t>
            </w:r>
          </w:p>
        </w:tc>
      </w:tr>
    </w:tbl>
    <w:p w:rsidR="00A62A3E" w:rsidRDefault="00000000">
      <w:pPr>
        <w:spacing w:after="0"/>
      </w:pPr>
    </w:p>
    <w:p w:rsidR="00A62A3E" w:rsidRDefault="00000000">
      <w:pPr>
        <w:pStyle w:val="Heading2"/>
        <w:keepNext/>
        <w:pBdr>
          <w:bottom w:val="single" w:sz="8" w:space="5" w:color="355B9D"/>
        </w:pBdr>
      </w:pPr>
      <w:r>
        <w:t>FR-008 Chase an Overdue Receivable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Reminders must escalate with age, and must not repeat a rung the customer already received.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dunning policy is a ladder of stages keyed to days overdue. Generation scans open invoices and raises a notice at the highest stage each one qualifies for, idempotent per invoice and level. The notice lifecycle runs pending, sent, cancelled or resolved.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Re-running never re-issues a reminder already sent at that rung. Dunning is a communications overlay and touches no ledger account.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This module records the notice and its channel; delivery is expected of an outer notifications service reading pending notices.</w:t>
            </w:r>
          </w:p>
        </w:tc>
      </w:tr>
    </w:tbl>
    <w:p w:rsidR="00A62A3E" w:rsidRDefault="00000000">
      <w:pPr>
        <w:spacing w:after="0"/>
      </w:pPr>
    </w:p>
    <w:p w:rsidR="00A62A3E" w:rsidRDefault="00000000">
      <w:pPr>
        <w:pStyle w:val="Heading2"/>
        <w:keepNext/>
        <w:pBdr>
          <w:bottom w:val="single" w:sz="8" w:space="5" w:color="355B9D"/>
        </w:pBdr>
      </w:pPr>
      <w:r>
        <w:t>FR-009 Report the Receivable Position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see what is owed, by whom, and for how long.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Aging, the AR reconciliation against the control account, customer statements, and invoice and payment summaries are served as entity-scoped reads. Historical as-of receivables reconstruct balances at a requested date from dated allocations.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as-of view is reconstructed from dated allocations rather than current state, so a question about last month's position is answered with last month's facts.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Keep the Trail and the Exports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billed, collected, or voided what must be readable afterwards, and the records must be extractable.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Finance audit rows are written for these actions and served behind a SENSITIVE key, and invoice and receipt export datasets are registered with the shared export engine.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Exports run through the shared asynchronous engine rather than blocking a request, and are owned by the user who asked for them.</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Invoice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Raised but not yet posted.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POSTED, or discarded.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is raised; the receivable exists.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Settled by allocation, reduced by an adjustment, or VOID.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PART-SETTLED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Some cash or credit has been applied.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Fully settled, or VOID.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Balance is nil through cash, credit, or concession.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 in practice; a later adjustment can reopen the balance.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Cancelled deliberately, with the reversal recorded.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The Two Postings</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Event</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Journal</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posted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receivable control; Cr revenue per line; Cr output tax.</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posted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bank or cash; Cr receivable control.</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Allocation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sub-ledger act only.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plan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scheduling overlay only.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Dunning notice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None. A communications overlay only.</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payer and its credit position.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Generic; carries no domain identity.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FeeStructure, FeeItem</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reusable charge template.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Becomes money owed only through generation.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InvoiceLine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and why.</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Settled and credited amounts drive the balance.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Money received and its posting.</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Allocated across invoices after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allocation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Which invoice a receipt settled, and when.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Dated, which is what makes the as-of view possible.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PaymentPlan and its installments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Expected dates and amounts.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ledger effect; progress derived from the invoice.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DunningPolicy, DunningNotice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ladder and one reminder.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Idempotent per invoice and level.</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17's; the ledger routes belong to Module 19 and the adjustment routes to Module 20.</w:t>
      </w:r>
    </w:p>
    <w:p w:rsidR="00A62A3E" w:rsidRDefault="00000000">
      <w:pPr>
        <w:pStyle w:val="Heading2"/>
        <w:keepNext/>
        <w:pBdr>
          <w:bottom w:val="single" w:sz="8" w:space="5" w:color="355B9D"/>
        </w:pBdr>
      </w:pPr>
      <w:r>
        <w:t>7.1 Customers, Billing, and Invoices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/customers/, /customers/{id}/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payer record.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/customers/{id}/receipt/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customer's receipt document.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/fee-structures/, /fee-structures/{id}/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charge catalogue.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/fee-structures/{id}/generate/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Bulk-raise posted invoices.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/fee-structures/{id}/duplicate/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Copy a structure.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/invoices/, /invoices/{id}/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 invoices.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/invoices/{id}/document/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printable invoice.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/invoices/{id}/pay/, /remind/,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Take payment, chase, or cancel.</w:t>
            </w:r>
          </w:p>
        </w:tc>
      </w:tr>
    </w:tbl>
    <w:p w:rsidR="00A62A3E" w:rsidRDefault="00000000">
      <w:pPr>
        <w:pStyle w:val="Heading2"/>
        <w:keepNext/>
        <w:pBdr>
          <w:bottom w:val="single" w:sz="8" w:space="5" w:color="355B9D"/>
        </w:pBdr>
      </w:pPr>
      <w:r>
        <w:t>7.2 Payments, Plans, and Dunning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/payments/, /payments/{id}/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and read receipts.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/payments/{id}/receipt/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printable receipt.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/payments/{id}/allocate/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 cash across invoices.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/payments/{id}/void/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 a recorded receipt.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/payment-plans/ and its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activate, refresh, cancel.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/dunning-policies/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reminder ladder.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/dunning/generate/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notices for everything overdue.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/dunning-notices/ and its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Send or cancel one.</w:t>
            </w:r>
          </w:p>
        </w:tc>
      </w:tr>
    </w:tbl>
    <w:p w:rsidR="00A62A3E" w:rsidRDefault="00000000">
      <w:pPr>
        <w:pStyle w:val="Heading2"/>
        <w:keepNext/>
        <w:pBdr>
          <w:bottom w:val="single" w:sz="8" w:space="5" w:color="355B9D"/>
        </w:pBdr>
      </w:pPr>
      <w:r>
        <w:t>7.3 Reporting and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/reports/ar-aging/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by age band.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/reports/ar-reconciliation/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Sub-ledger against its control.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/reports/customer-statement/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customer's account.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backdated receipt settling a bill that did not exist then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Allocating more than the receipt holds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period lock, the accounts, and the chronology guards this module posts through.</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Reduces or reopens the same invoice balances through the credited amount, which is why the two must be read together.</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 confirmed gateway collection as a payment here.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Dispatches pending dunning notices through their recorded channel.</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invoice and receipt datasets.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finance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seed_finance provisions the baseline chart and calendar; seed_finance_ar_demo builds a worked receivable set.</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THE ENGINE HAS NOBODY TO BILL YET</w:t>
            </w:r>
          </w:p>
          <w:p w:rsidR="00A62A3E" w:rsidRDefault="00000000">
            <w:pPr>
              <w:spacing w:after="20"/>
              <w:ind w:left="86" w:hanging="86"/>
            </w:pPr>
            <w:r>
              <w:rPr>
                <w:sz w:val="16"/>
              </w:rPr>
              <w:t xml:space="preserve">• The receivable core is domain-neutral by design and complete on its own terms, but nothing yet connects a customer to a student, a guardian, a class, or an academic period.</w:t>
            </w:r>
          </w:p>
          <w:p w:rsidR="00A62A3E" w:rsidRDefault="00000000">
            <w:pPr>
              <w:spacing w:after="20"/>
              <w:ind w:left="86" w:hanging="86"/>
            </w:pPr>
            <w:r>
              <w:rPr>
                <w:sz w:val="16"/>
              </w:rPr>
              <w:t xml:space="preserve">• Until those domains exist, who to bill and what to charge them are decisions made outside the platform and supplied to a bulk generation by hand.</w:t>
            </w:r>
          </w:p>
          <w:p w:rsidR="00A62A3E" w:rsidRDefault="00000000">
            <w:pPr>
              <w:spacing w:after="20"/>
              <w:ind w:left="86" w:hanging="86"/>
            </w:pPr>
            <w:r>
              <w:rPr>
                <w:sz w:val="16"/>
              </w:rPr>
              <w:t xml:space="preserve">• Required completion: connect billing customers and fee assignments to the student, guardian, class and academic-period domains once they exist. Tracked against Modules 11 to 16 and 17.</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Dunning records a notice and its channel but does not deliver it. If no outer service reads pending notices, reminders accumulate unsent and nothing says so.</w:t>
            </w:r>
          </w:p>
          <w:p w:rsidR="00A62A3E" w:rsidRDefault="00000000">
            <w:pPr>
              <w:spacing w:after="20"/>
              <w:ind w:left="86" w:hanging="86"/>
            </w:pPr>
            <w:r>
              <w:rPr>
                <w:sz w:val="16"/>
              </w:rPr>
              <w:t xml:space="preserve">• A payment plan measures progress from one linked invoice's settlement, so a payment allocated to a different invoice does not advance the plan.</w:t>
            </w:r>
          </w:p>
          <w:p w:rsidR="00A62A3E" w:rsidRDefault="00000000">
            <w:pPr>
              <w:spacing w:after="20"/>
              <w:ind w:left="86" w:hanging="86"/>
            </w:pPr>
            <w:r>
              <w:rPr>
                <w:sz w:val="16"/>
              </w:rPr>
              <w:t xml:space="preserve">• The module holds no rule about who should be billed, by design. That means a bulk run bills exactly the selection it is given, and a wrong selection is not detectable here.</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17 carries 14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Fee structures and charge definitions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Bulk invoice generation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lines, totals, and balances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and receipt recording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 allocation to invoices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Receipt document generation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Reminder and dunning flows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plans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Receivable status tracking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Accounts-receivable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Invoice and receipt export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17, written against the backend at 3ba18f8. Records the domain-neutral receivable cycle and its two postings, fee-structure generation as the single route from catalogue to money owed, allocation as a sub-ledger act separable from posting, payment plans and dunning as overlays that raise no journal, the branded documents, and the boundary against Modules 19 and 20.</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Billing &amp; Invoicing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Billing &amp; Invoicing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