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1E522F89"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1AA1E3BE" w14:textId="77777777" w:rsidR="00A62A3E" w:rsidRDefault="00000000">
            <w:pPr>
              <w:spacing w:after="140"/>
            </w:pPr>
            <w:r>
              <w:rPr>
                <w:rFonts w:ascii="Aptos Display" w:hAnsi="Aptos Display"/>
                <w:b/>
                <w:color w:val="FFFFFF"/>
                <w:sz w:val="40"/>
              </w:rPr>
              <w:t>FUNCTIONAL REQUIREMENTS DOCUMENT</w:t>
            </w:r>
          </w:p>
          <w:p w14:paraId="4FAAA466" w14:textId="77777777" w:rsidR="00A62A3E" w:rsidRDefault="00000000">
            <w:pPr>
              <w:spacing w:after="100"/>
            </w:pPr>
            <w:r>
              <w:rPr>
                <w:rFonts w:ascii="Aptos Display" w:hAnsi="Aptos Display"/>
                <w:b/>
                <w:color w:val="FFFFFF"/>
                <w:sz w:val="28"/>
              </w:rPr>
              <w:t>Module 19: Finance &amp; Accounting</w:t>
            </w:r>
          </w:p>
          <w:p w14:paraId="6071B59E" w14:textId="77777777" w:rsidR="00A62A3E" w:rsidRDefault="00000000">
            <w:pPr>
              <w:spacing w:after="180"/>
            </w:pPr>
            <w:r>
              <w:rPr>
                <w:color w:val="FFFFFF"/>
                <w:sz w:val="20"/>
              </w:rPr>
              <w:t>XVision Systems | Code-aligned functional baseline</w:t>
            </w:r>
          </w:p>
          <w:p w14:paraId="05516311" w14:textId="77777777" w:rsidR="00A62A3E" w:rsidRDefault="00000000">
            <w:pPr>
              <w:spacing w:after="0"/>
            </w:pPr>
            <w:r>
              <w:rPr>
                <w:b/>
                <w:color w:val="FFFFFF"/>
                <w:sz w:val="19"/>
              </w:rPr>
              <w:t>Prepared by: CodeX Team     Version: 1.2</w:t>
            </w:r>
          </w:p>
        </w:tc>
      </w:tr>
    </w:tbl>
    <w:p w14:paraId="51F662A0" w14:textId="77777777" w:rsidR="00A62A3E" w:rsidRDefault="00000000">
      <w:pPr>
        <w:spacing w:after="160"/>
      </w:pPr>
      <w:r>
        <w:rPr>
          <w:rFonts w:ascii="Aptos Display" w:hAnsi="Aptos Display"/>
          <w:b/>
          <w:color w:val="355B9D"/>
          <w:sz w:val="52"/>
        </w:rPr>
        <w:t>2026</w:t>
      </w:r>
    </w:p>
    <w:p w14:paraId="74327561" w14:textId="77777777" w:rsidR="00A62A3E" w:rsidRDefault="00000000">
      <w:pPr>
        <w:spacing w:after="100"/>
      </w:pPr>
      <w:r>
        <w:rPr>
          <w:color w:val="5E6B7A"/>
        </w:rPr>
        <w:t>Internal Documentation</w:t>
      </w:r>
    </w:p>
    <w:p w14:paraId="4ECE0199" w14:textId="77777777" w:rsidR="00A62A3E" w:rsidRDefault="00000000">
      <w:r>
        <w:br w:type="page"/>
      </w:r>
    </w:p>
    <w:p w14:paraId="5020320F"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708756AF"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E2D3D5E"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9829C6" w14:textId="77777777" w:rsidR="00A62A3E" w:rsidRDefault="00000000">
            <w:pPr>
              <w:spacing w:after="0"/>
            </w:pPr>
            <w:r>
              <w:rPr>
                <w:color w:val="000000"/>
                <w:sz w:val="17"/>
              </w:rPr>
              <w:t>Functional Requirements Document (FRD)</w:t>
            </w:r>
          </w:p>
        </w:tc>
      </w:tr>
      <w:tr w:rsidR="00A62A3E" w14:paraId="1CB7431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3157BE7"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3EF7DA" w14:textId="77777777" w:rsidR="00A62A3E" w:rsidRDefault="00000000">
            <w:pPr>
              <w:spacing w:after="0"/>
            </w:pPr>
            <w:r>
              <w:rPr>
                <w:color w:val="000000"/>
                <w:sz w:val="17"/>
              </w:rPr>
              <w:t>M19 | Finance &amp; Accounting</w:t>
            </w:r>
          </w:p>
        </w:tc>
      </w:tr>
      <w:tr w:rsidR="00A62A3E" w14:paraId="4A6C5C17"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D9645A4"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8FA6E75" w14:textId="77777777" w:rsidR="00A62A3E" w:rsidRDefault="00000000">
            <w:pPr>
              <w:spacing w:after="0"/>
            </w:pPr>
            <w:r>
              <w:rPr>
                <w:color w:val="000000"/>
                <w:sz w:val="17"/>
              </w:rPr>
              <w:t>1.2</w:t>
            </w:r>
          </w:p>
        </w:tc>
      </w:tr>
      <w:tr w:rsidR="00A62A3E" w14:paraId="04BF5F7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A15B32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879080" w14:textId="77777777" w:rsidR="00A62A3E" w:rsidRDefault="00000000">
            <w:pPr>
              <w:spacing w:after="0"/>
            </w:pPr>
            <w:r>
              <w:rPr>
                <w:color w:val="000000"/>
                <w:sz w:val="17"/>
              </w:rPr>
              <w:t>15 August 2026</w:t>
            </w:r>
          </w:p>
        </w:tc>
      </w:tr>
      <w:tr w:rsidR="00A62A3E" w14:paraId="07F4B09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CBDE6FE"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36FCB" w14:textId="77777777" w:rsidR="00A62A3E" w:rsidRDefault="00000000">
            <w:pPr>
              <w:spacing w:after="0"/>
            </w:pPr>
            <w:r>
              <w:rPr>
                <w:color w:val="000000"/>
                <w:sz w:val="17"/>
              </w:rPr>
              <w:t>c971596 plus the uncommitted upload-validation change (15 August 2026)</w:t>
            </w:r>
          </w:p>
        </w:tc>
      </w:tr>
      <w:tr w:rsidR="00A62A3E" w14:paraId="002FA76B"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1265AC7"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7575A9" w14:textId="77777777" w:rsidR="00A62A3E" w:rsidRDefault="00000000">
            <w:pPr>
              <w:spacing w:after="0"/>
            </w:pPr>
            <w:r>
              <w:rPr>
                <w:color w:val="000000"/>
                <w:sz w:val="17"/>
              </w:rPr>
              <w:t>XVS Module Requirements Document v2.15 | Module 19</w:t>
            </w:r>
          </w:p>
        </w:tc>
      </w:tr>
      <w:tr w:rsidR="00A62A3E" w14:paraId="568E0EB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F36713D"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A301F0" w14:textId="77777777" w:rsidR="00A62A3E" w:rsidRDefault="00000000">
            <w:pPr>
              <w:spacing w:after="0"/>
            </w:pPr>
            <w:r>
              <w:rPr>
                <w:color w:val="000000"/>
                <w:sz w:val="17"/>
              </w:rPr>
              <w:t>vs_finance</w:t>
            </w:r>
          </w:p>
        </w:tc>
      </w:tr>
      <w:tr w:rsidR="00A62A3E" w14:paraId="7C13A4FA"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2D70A46"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EB1F513" w14:textId="77777777" w:rsidR="00A62A3E" w:rsidRDefault="00000000">
            <w:pPr>
              <w:spacing w:after="0"/>
            </w:pPr>
            <w:r>
              <w:rPr>
                <w:color w:val="000000"/>
                <w:sz w:val="17"/>
              </w:rPr>
              <w:t>vs_tenants, vs_rbac, vs_audit, vs_workflow, vs_exports, vs_import_data; consumed by vs_payments and vs_procurement</w:t>
            </w:r>
          </w:p>
        </w:tc>
      </w:tr>
      <w:tr w:rsidR="00A62A3E" w14:paraId="2ADF563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8AD0B2D"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9276AB" w14:textId="77777777" w:rsidR="00A62A3E" w:rsidRDefault="00000000">
            <w:pPr>
              <w:spacing w:after="0"/>
            </w:pPr>
            <w:r>
              <w:rPr>
                <w:color w:val="000000"/>
                <w:sz w:val="17"/>
              </w:rPr>
              <w:t>Code-aligned baseline for Product and Engineering review</w:t>
            </w:r>
          </w:p>
        </w:tc>
      </w:tr>
      <w:tr w:rsidR="00A62A3E" w14:paraId="6528EEB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4FC2D03"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7B789" w14:textId="77777777" w:rsidR="00A62A3E" w:rsidRDefault="00000000">
            <w:pPr>
              <w:spacing w:after="0"/>
            </w:pPr>
            <w:r>
              <w:rPr>
                <w:color w:val="000000"/>
                <w:sz w:val="17"/>
              </w:rPr>
              <w:t>CodeX Team</w:t>
            </w:r>
          </w:p>
        </w:tc>
      </w:tr>
      <w:tr w:rsidR="00A62A3E" w14:paraId="732C6AAC"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6E5BBF0B" w14:textId="77777777" w:rsidR="00A62A3E" w:rsidRDefault="00000000">
            <w:r>
              <w:rPr>
                <w:b/>
                <w:color w:val="355B9D"/>
              </w:rPr>
              <w:t>EVIDENCE BOUNDARY</w:t>
            </w:r>
          </w:p>
          <w:p w14:paraId="50BD08E6"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7F0B3BCA" w14:textId="77777777" w:rsidR="00A62A3E" w:rsidRDefault="00000000">
            <w:pPr>
              <w:spacing w:after="40"/>
            </w:pPr>
            <w:r>
              <w:rPr>
                <w:color w:val="000000"/>
                <w:sz w:val="17"/>
              </w:rPr>
              <w:t>• Partial, Defective, and Not implemented items are current requirements and risks, not historical notes.</w:t>
            </w:r>
          </w:p>
          <w:p w14:paraId="6D01A539" w14:textId="77777777" w:rsidR="00A62A3E" w:rsidRDefault="00000000">
            <w:pPr>
              <w:spacing w:after="40"/>
            </w:pPr>
            <w:r>
              <w:rPr>
                <w:color w:val="000000"/>
                <w:sz w:val="17"/>
              </w:rPr>
              <w:t>• The MRD and this FRD have independent versions. A change can require one or both documents to advance.</w:t>
            </w:r>
          </w:p>
        </w:tc>
      </w:tr>
    </w:tbl>
    <w:p w14:paraId="0A054924" w14:textId="77777777" w:rsidR="00A62A3E" w:rsidRDefault="00000000">
      <w:r>
        <w:br w:type="page"/>
      </w:r>
    </w:p>
    <w:p w14:paraId="07D398E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07F4D2CE"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B9DEA46"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317225" w14:textId="77777777" w:rsidR="00A62A3E" w:rsidRDefault="00000000">
            <w:pPr>
              <w:spacing w:after="0"/>
            </w:pPr>
            <w:r>
              <w:rPr>
                <w:b/>
                <w:color w:val="FFFFFF"/>
                <w:sz w:val="17"/>
              </w:rPr>
              <w:t>Purpose</w:t>
            </w:r>
          </w:p>
        </w:tc>
      </w:tr>
      <w:tr w:rsidR="00A62A3E" w14:paraId="134041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47E8C0"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B8E545" w14:textId="77777777" w:rsidR="00A62A3E" w:rsidRDefault="00000000">
            <w:pPr>
              <w:spacing w:after="0"/>
            </w:pPr>
            <w:r>
              <w:rPr>
                <w:color w:val="000000"/>
                <w:sz w:val="17"/>
              </w:rPr>
              <w:t>Version, ownership, source baseline, and evidence rules</w:t>
            </w:r>
          </w:p>
        </w:tc>
      </w:tr>
      <w:tr w:rsidR="00A62A3E" w14:paraId="045D0D8A"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31F0AD3"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8EF0343" w14:textId="77777777" w:rsidR="00A62A3E" w:rsidRDefault="00000000">
            <w:pPr>
              <w:spacing w:after="0"/>
            </w:pPr>
            <w:r>
              <w:rPr>
                <w:color w:val="000000"/>
                <w:sz w:val="17"/>
              </w:rPr>
              <w:t>The ledger's responsibility, and what billing and adjustments own instead</w:t>
            </w:r>
          </w:p>
        </w:tc>
      </w:tr>
      <w:tr w:rsidR="00A62A3E" w14:paraId="672CD52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D25B4"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FC1134" w14:textId="77777777" w:rsidR="00A62A3E" w:rsidRDefault="00000000">
            <w:pPr>
              <w:spacing w:after="0"/>
            </w:pPr>
            <w:r>
              <w:rPr>
                <w:color w:val="000000"/>
                <w:sz w:val="17"/>
              </w:rPr>
              <w:t>Where postings are guarded, money units, and requirement states</w:t>
            </w:r>
          </w:p>
        </w:tc>
      </w:tr>
      <w:tr w:rsidR="00A62A3E" w14:paraId="7ED41ED9"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DFB0A1F"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01AE1" w14:textId="77777777" w:rsidR="00A62A3E" w:rsidRDefault="00000000">
            <w:pPr>
              <w:spacing w:after="0"/>
            </w:pPr>
            <w:r>
              <w:rPr>
                <w:color w:val="000000"/>
                <w:sz w:val="17"/>
              </w:rPr>
              <w:t>Who may post, close, reconcile, and read the books</w:t>
            </w:r>
          </w:p>
        </w:tc>
      </w:tr>
      <w:tr w:rsidR="00A62A3E" w14:paraId="069AF7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B0675D"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A3047" w14:textId="77777777" w:rsidR="00A62A3E" w:rsidRDefault="00000000">
            <w:pPr>
              <w:spacing w:after="0"/>
            </w:pPr>
            <w:r>
              <w:rPr>
                <w:color w:val="000000"/>
                <w:sz w:val="17"/>
              </w:rPr>
              <w:t>Testable behaviour, current evidence, acceptance, and limits</w:t>
            </w:r>
          </w:p>
        </w:tc>
      </w:tr>
      <w:tr w:rsidR="00A62A3E" w14:paraId="1ED4D9E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0E00D8"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E4316F6" w14:textId="77777777" w:rsidR="00A62A3E" w:rsidRDefault="00000000">
            <w:pPr>
              <w:spacing w:after="0"/>
            </w:pPr>
            <w:r>
              <w:rPr>
                <w:color w:val="000000"/>
                <w:sz w:val="17"/>
              </w:rPr>
              <w:t>Journal, period, and sub-cycle lifecycles</w:t>
            </w:r>
          </w:p>
        </w:tc>
      </w:tr>
      <w:tr w:rsidR="00A62A3E" w14:paraId="0317AD6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B91B8F"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631B35" w14:textId="77777777" w:rsidR="00A62A3E" w:rsidRDefault="00000000">
            <w:pPr>
              <w:spacing w:after="0"/>
            </w:pPr>
            <w:r>
              <w:rPr>
                <w:color w:val="000000"/>
                <w:sz w:val="17"/>
              </w:rPr>
              <w:t>Persisted ledger records and their control accounts</w:t>
            </w:r>
          </w:p>
        </w:tc>
      </w:tr>
      <w:tr w:rsidR="00A62A3E" w14:paraId="4AB6E96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E64FB06"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2FEF983" w14:textId="77777777" w:rsidR="00A62A3E" w:rsidRDefault="00000000">
            <w:pPr>
              <w:spacing w:after="0"/>
            </w:pPr>
            <w:r>
              <w:rPr>
                <w:color w:val="000000"/>
                <w:sz w:val="17"/>
              </w:rPr>
              <w:t>Routes, purposes, and typed errors</w:t>
            </w:r>
          </w:p>
        </w:tc>
      </w:tr>
      <w:tr w:rsidR="00A62A3E" w14:paraId="543A6AB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2449CA"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2FA785" w14:textId="77777777" w:rsidR="00A62A3E" w:rsidRDefault="00000000">
            <w:pPr>
              <w:spacing w:after="0"/>
            </w:pPr>
            <w:r>
              <w:rPr>
                <w:color w:val="000000"/>
                <w:sz w:val="17"/>
              </w:rPr>
              <w:t>Tenancy, approval, import, export, and consumer contracts</w:t>
            </w:r>
          </w:p>
        </w:tc>
      </w:tr>
      <w:tr w:rsidR="00A62A3E" w14:paraId="7A915477"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1BC5D1"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480C1A3" w14:textId="77777777" w:rsidR="00A62A3E" w:rsidRDefault="00000000">
            <w:pPr>
              <w:spacing w:after="0"/>
            </w:pPr>
            <w:r>
              <w:rPr>
                <w:color w:val="000000"/>
                <w:sz w:val="17"/>
              </w:rPr>
              <w:t>Current risks and required completion</w:t>
            </w:r>
          </w:p>
        </w:tc>
      </w:tr>
      <w:tr w:rsidR="00A62A3E" w14:paraId="42B7F5B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6259A9"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16689C" w14:textId="77777777" w:rsidR="00A62A3E" w:rsidRDefault="00000000">
            <w:pPr>
              <w:spacing w:after="0"/>
            </w:pPr>
            <w:r>
              <w:rPr>
                <w:color w:val="000000"/>
                <w:sz w:val="17"/>
              </w:rPr>
              <w:t>Module 19 capability mapping</w:t>
            </w:r>
          </w:p>
        </w:tc>
      </w:tr>
      <w:tr w:rsidR="00A62A3E" w14:paraId="67BB0D7C"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659A361"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7DD816D" w14:textId="77777777" w:rsidR="00A62A3E" w:rsidRDefault="00000000">
            <w:pPr>
              <w:spacing w:after="0"/>
            </w:pPr>
            <w:r>
              <w:rPr>
                <w:color w:val="000000"/>
                <w:sz w:val="17"/>
              </w:rPr>
              <w:t>Independent FRD revision history</w:t>
            </w:r>
          </w:p>
        </w:tc>
      </w:tr>
    </w:tbl>
    <w:p w14:paraId="5F49CB47" w14:textId="77777777" w:rsidR="00A62A3E" w:rsidRDefault="00000000">
      <w:r>
        <w:br w:type="page"/>
      </w:r>
    </w:p>
    <w:p w:rsidR="00A62A3E" w:rsidRDefault="00000000">
      <w:pPr>
        <w:pStyle w:val="Heading1"/>
        <w:keepNext/>
        <w:pBdr>
          <w:bottom w:val="single" w:sz="14" w:space="5" w:color="355B9D"/>
        </w:pBdr>
      </w:pPr>
      <w:r>
        <w:t>1. Purpose and Scope</w:t>
      </w:r>
    </w:p>
    <w:p w:rsidR="00A62A3E" w:rsidRDefault="00000000">
      <w:pPr>
        <w:spacing w:after="120"/>
      </w:pPr>
      <w:r>
        <w:t xml:space="preserve">Module 19 is the double-entry ledger every other money module posts through. It owns the chart of accounts, the calendar of periods, the act of posting a journal, and the reports read back off it. It also owns the cycles that end in a journal of their own: banking, expense claims, petty cash, payroll, tax remittance, budgets, and fixed assets. Its central promise is that a posting either satisfies every rule or does not happen.</w:t>
      </w:r>
    </w:p>
    <w:p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Responsibility</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foundations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entities and their books, the chart of accounts, cost centres, reporting dimensions, currencies, FX rates, and tax codes.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Calendar and posting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periods, the posting window, journals, direct entries, reversal, and the guards every posting passes.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pre-close checklist, the auto-entries a close must post, and the four-state lock from open to locked.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Reporting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income statement, balance sheet, cash flow, changes in equity, the statutory pack, analytics slices, and the dashboard.</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Banking</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statement import, matching, split and group matches, adjusting journals, and reconciliation completion.</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Spend cycles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 and petty cash, each recognising a liability on posting and clearing it on settlement.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and tax</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accrue-then-disburse payroll cycle, and the filings that drain the statutory liability control accounts.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assets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plans with an approval lock and variance reporting, and fixed assets with straight-line depreciation and disposal.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Evidence</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 its facets, and the exports built off it.</w:t>
            </w:r>
          </w:p>
        </w:tc>
      </w:tr>
    </w:tbl>
    <w:p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Owner</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Customers, invoices, receipts, dunning, and payment plans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17, Billing &amp; Invoicing. It is a separate module built on the same application; the ledger receives its postings.</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Credit notes, refunds, write-offs, concessions, and batch adjustments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20, Adjustments &amp; Concessions, likewise inside this application.</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Talking to a payment provider</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 A confirmed gateway movement books here; the provider conversation does not happen here.</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Vendors, purchase orders, and accounts payable</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They post through this ledger, and the AP and GR/IR reconciliations live there, which is why period close accepts them as extra checks rather than importing procurement.</w:t>
            </w:r>
          </w:p>
        </w:tc>
      </w:tr>
      <w:tr w:rsidR="00A62A3E">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Who must approve a journal</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 where a template is published for the document type.</w:t>
            </w:r>
          </w:p>
        </w:tc>
      </w:tr>
    </w:tbl>
    <w:p w:rsidR="00A62A3E" w:rsidRDefault="00000000">
      <w:pPr>
        <w:pStyle w:val="Heading1"/>
        <w:keepNext/>
        <w:pBdr>
          <w:bottom w:val="single" w:sz="14" w:space="5" w:color="355B9D"/>
        </w:pBdr>
      </w:pPr>
      <w:r>
        <w:t>2. Context and Status Model</w:t>
      </w:r>
    </w:p>
    <w:p w:rsidR="00A62A3E" w:rsidRDefault="00000000">
      <w:pPr>
        <w:spacing w:after="120"/>
      </w:pPr>
      <w:r>
        <w:t xml:space="preserve">The rule the engine is built around is that business rules are enforced where journals are posted, not in the screens. A request that bypasses the interface entirely, through the API, a script, or a webhook, must still be unable to post into a closed period or write an unbalanced entry. Every posting in the platform, including those raised by payments and procurement, passes the same guards.</w:t>
      </w:r>
    </w:p>
    <w:p w:rsidR="00A62A3E" w:rsidRDefault="00000000">
      <w:pPr>
        <w:pStyle w:val="Heading2"/>
        <w:keepNext/>
        <w:pBdr>
          <w:bottom w:val="single" w:sz="8" w:space="5" w:color="355B9D"/>
        </w:pBdr>
      </w:pPr>
      <w:r>
        <w:t>2.1 Status Model</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stated behaviour is present in the inspected backend code and exercised by its tests.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behaviour exists and is usable, but a stated boundary applies.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Part of the requirement is present; the rest is named in Section 9.</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No backend evidence was found for the stated behaviour.</w:t>
            </w:r>
          </w:p>
        </w:tc>
      </w:tr>
    </w:tbl>
    <w:p w:rsidR="00A62A3E" w:rsidRDefault="00000000">
      <w:pPr>
        <w:pStyle w:val="Heading2"/>
        <w:keepNext/>
        <w:pBdr>
          <w:bottom w:val="single" w:sz="8" w:space="5" w:color="355B9D"/>
        </w:pBdr>
      </w:pPr>
      <w:r>
        <w:t>2.2 Money and Dates</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rsidR="00A62A3E" w:rsidRDefault="00000000">
            <w:pPr>
              <w:keepNext/>
              <w:spacing w:after="40"/>
            </w:pPr>
            <w:r>
              <w:rPr>
                <w:b/>
                <w:color w:val="1F4E9C"/>
                <w:sz w:val="17"/>
              </w:rPr>
              <w:t>TWO NON-NEGOTIABLES</w:t>
            </w:r>
          </w:p>
          <w:p w:rsidR="00A62A3E" w:rsidRDefault="00000000">
            <w:pPr>
              <w:spacing w:after="20"/>
              <w:ind w:left="86" w:hanging="86"/>
            </w:pPr>
            <w:r>
              <w:rPr>
                <w:sz w:val="16"/>
              </w:rPr>
              <w:t xml:space="preserve">• Money is an integer number of minor units (kobo) everywhere. Floats cannot represent decimal currency exactly, so they never touch a balance, a journal line, a price, or a tax computation. Conversion happens once, at the API boundary.</w:t>
            </w:r>
          </w:p>
          <w:p w:rsidR="00A62A3E" w:rsidRDefault="00000000">
            <w:pPr>
              <w:spacing w:after="20"/>
              <w:ind w:left="86" w:hanging="86"/>
            </w:pPr>
            <w:r>
              <w:rPr>
                <w:sz w:val="16"/>
              </w:rPr>
              <w:t xml:space="preserve">• There are two notions of when: the real time a row was entered, and the accounting date the user chose for the movement. Guards validate against the state as at the accounting date, not as at now, because those two disagree the moment a date is backdated.</w:t>
            </w:r>
          </w:p>
        </w:tc>
      </w:tr>
    </w:tbl>
    <w:p w:rsidR="00A62A3E" w:rsidRDefault="00000000">
      <w:pPr>
        <w:pStyle w:val="Heading1"/>
        <w:keepNext/>
        <w:pBdr>
          <w:bottom w:val="single" w:sz="14" w:space="5" w:color="355B9D"/>
        </w:pBdr>
      </w:pPr>
      <w:r>
        <w:t>3. Actors, Permissions, and Ownership</w:t>
      </w:r>
    </w:p>
    <w:p w:rsidR="00A62A3E" w:rsidRDefault="00000000">
      <w:pPr>
        <w:spacing w:after="120"/>
      </w:pPr>
      <w:r>
        <w:t xml:space="preserve">Access is governed by RBAC permission keys seeded by seed_finance_permissions across some thirty resources, enforced on every view. The keys that can alter the books without a document behind them are CRITICAL.</w:t>
      </w:r>
    </w:p>
    <w:tbl>
      <w:tblPr>
        <w:tblW w:w="10468" w:type="dxa"/>
        <w:jc w:val="center"/>
        <w:tblLayout w:type="fixed"/>
        <w:tblLook w:val="04A0" w:firstRow="1" w:lastRow="0" w:firstColumn="1" w:lastColumn="0" w:noHBand="0" w:noVBand="1"/>
      </w:tblPr>
      <w:tblGrid>
        <w:gridCol w:w="2100"/>
        <w:gridCol w:w="4600"/>
        <w:gridCol w:w="3768"/>
      </w:tblGrid>
      <w:tr w:rsidR="00A62A3E">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Governed by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Accountant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submit journals, run reports, read the chart of accounts.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 finance.report.view, finance.account.view</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Financial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and reverse journals, post a direct entry, run and complete a period close.</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finance.journal.post, finance.directentry.post (CRITICAL), finance.period.*</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Configuration owner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the chart of accounts, cost centres, dimensions, currencies, FX rates, tax codes, and finance settings.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finance.account.create/.update, finance.settings.update (SENSITIVE)</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reconciler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Import statements, match, split, adjust, and complete a reconciliation.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finance.bankaccount.*</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 salary structures and run, post, and pay a payroll.</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finance.payrollrun.*, finance.salary.*</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Claims and cash handler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Submit and settle expense claims; run a petty-cash float.</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finance.expenseclaim.*, finance.pettycash.*, finance.pettycashvoucher.*</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and pay a statutory return.</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finance.tax.*</w:t>
            </w:r>
          </w:p>
        </w:tc>
      </w:tr>
      <w:tr w:rsidR="00A62A3E">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Read the finance audit trail and its facets.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finance.audit.view (SENSITIVE)</w:t>
            </w:r>
          </w:p>
        </w:tc>
      </w:tr>
    </w:tbl>
    <w:p w:rsidR="00A62A3E" w:rsidRDefault="00000000">
      <w:pPr>
        <w:pStyle w:val="Heading1"/>
        <w:keepNext/>
        <w:pBdr>
          <w:bottom w:val="single" w:sz="14" w:space="5" w:color="355B9D"/>
        </w:pBdr>
      </w:pPr>
      <w:r>
        <w:t>4. Functional Requirements</w:t>
      </w:r>
    </w:p>
    <w:p w:rsidR="00A62A3E" w:rsidRDefault="00000000">
      <w:pPr>
        <w:pStyle w:val="Heading2"/>
        <w:keepNext/>
        <w:pBdr>
          <w:bottom w:val="single" w:sz="8" w:space="5" w:color="355B9D"/>
        </w:pBdr>
      </w:pPr>
      <w:r>
        <w:t>FR-001 Hold a Chart of Accounts per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Each ledger entity has its own chart of accounts, and services that need a control account find it by code rather than by identifier.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Accounts are entity-scoped with an activity view per account. Payroll, depreciation, expense claims and bank charges resolve their control accounts through a single by-code helper.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with a customised chart fails loudly with a clear missing-account error rather than posting into the wrong place.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by-code convention means renaming a control account's code breaks posting until the chart is corrected.</w:t>
            </w:r>
          </w:p>
        </w:tc>
      </w:tr>
    </w:tbl>
    <w:p w:rsidR="00A62A3E" w:rsidRDefault="00000000">
      <w:pPr>
        <w:spacing w:after="0"/>
      </w:pPr>
    </w:p>
    <w:p w:rsidR="00A62A3E" w:rsidRDefault="00000000">
      <w:pPr>
        <w:pStyle w:val="Heading2"/>
        <w:keepNext/>
        <w:pBdr>
          <w:bottom w:val="single" w:sz="8" w:space="5" w:color="355B9D"/>
        </w:pBdr>
      </w:pPr>
      <w:r>
        <w:t>FR-002 Refuse an Unbalanced or Out-of-Period Posting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 journal may post unbalanced, and none may post into a period that is not open.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posting guards are the single enforcement point, applied by post_journal and therefore by every caller including payments and procurement. The posting window and the period's status are both checked there.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call that bypasses the screens is refused identically. A closed period surfaces to a gateway booking as a recorded failure rather than a silent success.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FR-003 Post, Reverse, and Record a Journal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journal can be raised, submitted, posted, and reversed, with the reversal recorded rather than the original edited.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Journals carry a submit, post, and reverse endpoint; direct entries post in one step behind a CRITICAL key. Posting maintains the denormalised account balances the reports read.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posted journal is never edited in place: a correction is a reversal and a new entry, so the history of what the books said remains readable.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FR-004 Guard the Accounting Date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transaction must be refusable when it could not have happened on the date it claims.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chronology guards validate sub-ledger decisions against the state as at the chosen accounting date rather than current state: credit available then, an invoice raised by then, a bill that existed by then.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refund cannot pay out credit that arrives eight days later; a write-off cannot clear an invoice not yet raised; a receipt cannot settle a bill that did not exist.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FR-005 Close a Period Under a Checklist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Sealing a period must run integrity checks and post what the close owes before the period locks.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close runs a checklist (trial balance balanced, AR sub-ledger equals its control, all due depreciation posted), posts the auto-entries, then moves the period through open, soft-closed, closed, locked.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AP and GR/IR reconciliations arrive through the registry in FR-017 rather than being imported, keeping the dependency one-way. Reopen and lock are separate, permissioned actions, and a forced close is audited as forced.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checklist can still be forced past a blocking failure. That is a deliberate break-glass and the audit message says so, but it is a way past every check on this list.</w:t>
            </w:r>
          </w:p>
        </w:tc>
      </w:tr>
    </w:tbl>
    <w:p w:rsidR="00A62A3E" w:rsidRDefault="00000000">
      <w:pPr>
        <w:spacing w:after="0"/>
      </w:pPr>
    </w:p>
    <w:p w:rsidR="00A62A3E" w:rsidRDefault="00000000">
      <w:pPr>
        <w:pStyle w:val="Heading2"/>
        <w:keepNext/>
        <w:pBdr>
          <w:bottom w:val="single" w:sz="8" w:space="5" w:color="355B9D"/>
        </w:pBdr>
      </w:pPr>
      <w:r>
        <w:t>FR-006 Report Off Maintained Balances</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standard statements must be cheap to produce and must always balance.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Reports read the denormalised account balances that posting maintains rather than re-summing the journal. Trial balance, income statement, balance sheet, cash flow, changes in equity, the statutory pack, analytics slices, and a dashboard are all served this way.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double-entry ledger over a balanced set of postings always balances, and the trial balance demonstrates it directly.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balance corrupted outside the posting service would be believed by the reports; the balances are a cache maintained at the one write point.</w:t>
            </w:r>
          </w:p>
        </w:tc>
      </w:tr>
    </w:tbl>
    <w:p w:rsidR="00A62A3E" w:rsidRDefault="00000000">
      <w:pPr>
        <w:spacing w:after="0"/>
      </w:pPr>
    </w:p>
    <w:p w:rsidR="00A62A3E" w:rsidRDefault="00000000">
      <w:pPr>
        <w:pStyle w:val="Heading2"/>
        <w:keepNext/>
        <w:pBdr>
          <w:bottom w:val="single" w:sz="8" w:space="5" w:color="355B9D"/>
        </w:pBdr>
      </w:pPr>
      <w:r>
        <w:t>FR-007 Import and Reconcile a Bank Statement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difference between the ledger's cash balance and the bank's must be explainable.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Statements import through the shared wizard, with finance owning the normalisation and the statement-wide invariants that must hold before publish creates any reconciliation rows. Lines can be matched, group-matched, split-matched, ignored, unmatched, or resolved by an adjusting journal, and the reconciliation completed.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statement amount is signed from the platform's perspective and a ledger cash line's signed contribution is debit minus credit, so a match is an equality rather than a judgement. Auto-reconcile proposes; it does not post.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FR-008 Run Expense Claims as a Small Payables Cycle</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entity's debt to an employee who spent their own money must be recognised when incurred and cleared when repaid.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Posting a claim debits the expenses and any recoverable input VAT and credits accrued reimbursement; settling debits accrued reimbursement and credits bank. Claims can also be rejected or voided, and line receipts attached. A receipt is validated before it reaches storage - extension, size, and the leading bytes agreeing with the extension - through the checker shared with the other upload endpoints on the platform.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liability exists between the two postings, so an unpaid claim is visible on the balance sheet rather than only in a queue.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A receipt URL is a capability rather than an object-level authorisation: the media endpoint authenticates the caller but cannot authorise per file, so a URL that escapes the people allowed to see the claim stays fetchable. Receipts stored before unguessable naming keep their old predictable names.</w:t>
            </w:r>
          </w:p>
        </w:tc>
      </w:tr>
    </w:tbl>
    <w:p w:rsidR="00A62A3E" w:rsidRDefault="00000000">
      <w:pPr>
        <w:spacing w:after="0"/>
      </w:pPr>
    </w:p>
    <w:p w:rsidR="00A62A3E" w:rsidRDefault="00000000">
      <w:pPr>
        <w:pStyle w:val="Heading2"/>
        <w:keepNext/>
        <w:pBdr>
          <w:bottom w:val="single" w:sz="8" w:space="5" w:color="355B9D"/>
        </w:pBdr>
      </w:pPr>
      <w:r>
        <w:t>FR-009 Run a Petty-Cash Float on the Imprest System</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FR-009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physical cash float must move through the ledger as it is spent, and must not be able to overdraw.</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Establishing or topping up debits petty cash and credits bank; a voucher debits the expenses and credits petty cash. The GL petty-cash account is the source of truth: the overdraw guard reads it live and the fund's recorded balance is re-synced from it after every operation.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fund cannot silently drift from the ledger, because it is re-derived rather than incremented. A voucher exceeding the float is refused.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FR-010 Accrue Then Disburse Payroll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FR-010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Payroll cost is incurred before the cash leaves, and the statutory deductions are held in between.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accrual debits salary expense and credits PAYE payable, pension payable, and net wages payable. Disbursement clears only the net-pay liability against bank. Net is gross less PAYE and pension, per employee.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statutory liabilities stay on the balance sheet until remitted, which is what makes them visible to the tax module rather than lost inside a single payroll posting.</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Remittance itself is a separate filing or AP payment; payroll does not drain the liability.</w:t>
            </w:r>
          </w:p>
        </w:tc>
      </w:tr>
    </w:tbl>
    <w:p w:rsidR="00A62A3E" w:rsidRDefault="00000000">
      <w:pPr>
        <w:spacing w:after="0"/>
      </w:pPr>
    </w:p>
    <w:p w:rsidR="00A62A3E" w:rsidRDefault="00000000">
      <w:pPr>
        <w:pStyle w:val="Heading2"/>
        <w:keepNext/>
        <w:pBdr>
          <w:bottom w:val="single" w:sz="8" w:space="5" w:color="355B9D"/>
        </w:pBdr>
      </w:pPr>
      <w:r>
        <w:t>FR-011 Drain a Statutory Liability Through a Filing</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FR-011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What is owed to an authority must be derived from the ledger, not retyped.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obligation names one liability control account, its authority, and its cadence. Preparing a filing derives the amount from the net credit movement of that account over the period, less recoverable input movement for VAT. The lifecycle runs draft, filed, paid, with unfile available.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worksheet posts nothing; the amount is reproducible from the GL at any time.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FR-012 Freeze an Approved Budget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FR-012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plan that actuals are measured against must not be rewritten after the fact.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Budgets hold lines per account and period and never post to the ledger. Approving one locks it. Variance and heatmap views compare it against actuals.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disappointing variance cannot be quietly fixed by editing the budget, because approval is the lock.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FR-013 Capitalise and Depreciate a Fixed Asset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FR-013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capital asset is recognised at cost and expensed over its useful life without losing the original cost.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Acquisition debits PP&amp;E and credits bank or payable, then lays down the schedule. Depreciation debits the expense and credits accumulated depreciation, a contra-asset, so net book value falls while cost stays. A run-depreciation endpoint posts everything due; disposal is a separate action.</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in integer kobo, with the rounding remainder thrown onto the final period so the schedule sums to the depreciable base exactly.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Straight-line only. No reducing-balance or usage-based method.</w:t>
            </w:r>
          </w:p>
        </w:tc>
      </w:tr>
    </w:tbl>
    <w:p w:rsidR="00A62A3E" w:rsidRDefault="00000000">
      <w:pPr>
        <w:spacing w:after="0"/>
      </w:pPr>
    </w:p>
    <w:p w:rsidR="00A62A3E" w:rsidRDefault="00000000">
      <w:pPr>
        <w:pStyle w:val="Heading2"/>
        <w:keepNext/>
        <w:pBdr>
          <w:bottom w:val="single" w:sz="8" w:space="5" w:color="355B9D"/>
        </w:pBdr>
      </w:pPr>
      <w:r>
        <w:t>FR-014 Keep a Finance Audit Trail</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FR-014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Who changed the books, and what they changed, must be readable afterwards.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Finance writes its own audit rows for postings and configuration changes, served by an audit-log endpoint with facets for filtering, behind a SENSITIVE key.</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Gateway actions in Module 18 keep their own append-only trail, so the two are complementary rather than duplicated.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FR-015 Warn Before the Calendar Runs Out</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FR-015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An entity must not discover on the day that it has no open period to post into.</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fiscal-calendar runway warning surfaces when the defined periods are close to exhausted.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The warning is derived from the calendar, so it needs no separate bookkeeping to stay true.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It warns; it does not create the next year.</w:t>
            </w:r>
          </w:p>
        </w:tc>
      </w:tr>
    </w:tbl>
    <w:p w:rsidR="00A62A3E" w:rsidRDefault="00000000">
      <w:pPr>
        <w:spacing w:after="0"/>
      </w:pPr>
    </w:p>
    <w:p w:rsidR="00A62A3E" w:rsidRDefault="00000000">
      <w:pPr>
        <w:pStyle w:val="Heading2"/>
        <w:keepNext/>
        <w:pBdr>
          <w:bottom w:val="single" w:sz="8" w:space="5" w:color="355B9D"/>
        </w:pBdr>
      </w:pPr>
      <w:r>
        <w:t>FR-016 Scope Every Read and Write to Its Entity</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FR-016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One entity's ledger must never be readable or writable by another.</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Every endpoint resolves the entity from the request and filters on it, and reports traverse an entity-scoped parent rather than starting from a global queryset.</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Cost-centre access is separately tested against a caller holding only some of the keys.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2"/>
        <w:keepNext/>
        <w:pBdr>
          <w:bottom w:val="single" w:sz="8" w:space="5" w:color="355B9D"/>
        </w:pBdr>
      </w:pPr>
      <w:r>
        <w:t>FR-017 Let a Dependent App Contribute a Close Check</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FR-017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close must be able to run checks this module cannot write, without this module importing the app that owns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register_close_check takes a callable invoked as (entity, period) returning a checklist item, an iterable of them, or nothing. Procurement registers its AP and GR/IR reconciliations from its own startup, the same inversion the workflow handlers and export datasets use.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registered check that raises is reported as a failed blocking item rather than escaping or vanishing: a check that cannot answer is not a check that passed. Registration is idempotent, so a module imported twice does not double the check.</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This replaced an extra_checks argument that only a test ever passed, so until now every close in the product ran without the payables checks and could seal a period over an unreconciled AP position while reporting success.</w:t>
            </w:r>
          </w:p>
        </w:tc>
      </w:tr>
    </w:tbl>
    <w:p w:rsidR="00A62A3E" w:rsidRDefault="00000000">
      <w:pPr>
        <w:spacing w:after="0"/>
      </w:pPr>
    </w:p>
    <w:p w:rsidR="00A62A3E" w:rsidRDefault="00000000">
      <w:pPr>
        <w:pStyle w:val="Heading2"/>
        <w:keepNext/>
        <w:pBdr>
          <w:bottom w:val="single" w:sz="8" w:space="5" w:color="355B9D"/>
        </w:pBdr>
      </w:pPr>
      <w:r>
        <w:t>FR-018 Provision What the Books Depend On</w:t>
      </w:r>
    </w:p>
    <w:tbl>
      <w:tblPr>
        <w:tblW w:w="10468" w:type="dxa"/>
        <w:jc w:val="center"/>
        <w:tblLayout w:type="fixed"/>
        <w:tblLook w:val="04A0" w:firstRow="1" w:lastRow="0" w:firstColumn="1" w:lastColumn="0" w:noHBand="0" w:noVBand="1"/>
      </w:tblPr>
      <w:tblGrid>
        <w:gridCol w:w="2131"/>
        <w:gridCol w:w="8337"/>
      </w:tblGrid>
      <w:tr w:rsidR="00A62A3E">
        <w:trPr>
          <w:jc w:val="center"/>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rsidR="00A62A3E" w:rsidRDefault="00000000">
            <w:pPr>
              <w:spacing w:after="0"/>
            </w:pPr>
            <w:r>
              <w:rPr>
                <w:b/>
                <w:color w:val="1F7A4D"/>
              </w:rPr>
              <w:t xml:space="preserve">FR-018 | Implemented</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Creating a tenant's books must also create the controls over them.</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register_entity_provisioner runs registered callables inside the transaction that creates a ledger entity, alongside the currencies, chart of accounts and fiscal periods. Finance, procurement and payments each register their own approval ladders.</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A provisioner that raises rolls the entity back rather than leaving books without their gates, and provisioners are idempotent so a second entity in one tenant finds the earlier work and leaves it alone.</w:t>
            </w:r>
          </w:p>
        </w:tc>
      </w:tr>
      <w:tr w:rsidR="00A62A3E">
        <w:trPr>
          <w:jc w:val="center"/>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rsidR="00A62A3E" w:rsidRDefault="00000000">
            <w:pPr>
              <w:spacing w:after="0"/>
            </w:pPr>
            <w:r>
              <w:rPr>
                <w:b/>
                <w:color w:val="355B9D"/>
                <w:sz w:val="16"/>
              </w:rPr>
              <w:t xml:space="preserve">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7"/>
              </w:rPr>
              <w:t xml:space="preserve">None.</w:t>
            </w:r>
          </w:p>
        </w:tc>
      </w:tr>
    </w:tbl>
    <w:p w:rsidR="00A62A3E" w:rsidRDefault="00000000">
      <w:pPr>
        <w:spacing w:after="0"/>
      </w:pPr>
    </w:p>
    <w:p w:rsidR="00A62A3E" w:rsidRDefault="00000000">
      <w:pPr>
        <w:pStyle w:val="Heading1"/>
        <w:keepNext/>
        <w:pBdr>
          <w:bottom w:val="single" w:sz="14" w:space="5" w:color="355B9D"/>
        </w:pBdr>
      </w:pPr>
      <w:r>
        <w:t>5. Workflows and Lifecycle Rules</w:t>
      </w:r>
    </w:p>
    <w:p w:rsidR="00A62A3E" w:rsidRDefault="00000000">
      <w:pPr>
        <w:pStyle w:val="Heading2"/>
        <w:keepNext/>
        <w:pBdr>
          <w:bottom w:val="single" w:sz="8" w:space="5" w:color="355B9D"/>
        </w:pBdr>
      </w:pPr>
      <w:r>
        <w:t>5.1 Period Lifecycle</w:t>
      </w:r>
    </w:p>
    <w:tbl>
      <w:tblPr>
        <w:tblW w:w="10468" w:type="dxa"/>
        <w:jc w:val="center"/>
        <w:tblLayout w:type="fixed"/>
        <w:tblLook w:val="04A0" w:firstRow="1" w:lastRow="0" w:firstColumn="1" w:lastColumn="0" w:noHBand="0" w:noVBand="1"/>
      </w:tblPr>
      <w:tblGrid>
        <w:gridCol w:w="2000"/>
        <w:gridCol w:w="5200"/>
        <w:gridCol w:w="32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State</w:t>
            </w:r>
          </w:p>
        </w:tc>
        <w:tc>
          <w:tcPr>
            <w:tcW w:w="5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Meaning</w:t>
            </w:r>
          </w:p>
        </w:tc>
        <w:tc>
          <w:tcPr>
            <w:tcW w:w="3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Leaves to</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OPEN</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Postings are accepted.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SOFT_CLOSED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Ordinary posting stops; corrections are still possible.</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 or back to OPEN by a permissioned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CLOSED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is sealed after its checklist passed.</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 or back by reopen.</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LOCKED</w:t>
            </w:r>
          </w:p>
        </w:tc>
        <w:tc>
          <w:tcPr>
            <w:tcW w:w="5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Final. Nothing posts into it again.</w:t>
            </w:r>
          </w:p>
        </w:tc>
        <w:tc>
          <w:tcPr>
            <w:tcW w:w="3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Terminal.</w:t>
            </w:r>
          </w:p>
        </w:tc>
      </w:tr>
    </w:tbl>
    <w:p w:rsidR="00A62A3E" w:rsidRDefault="00000000">
      <w:pPr>
        <w:pStyle w:val="Heading2"/>
        <w:keepNext/>
        <w:pBdr>
          <w:bottom w:val="single" w:sz="8" w:space="5" w:color="355B9D"/>
        </w:pBdr>
      </w:pPr>
      <w:r>
        <w:t>5.2 Journal Lifecycle</w:t>
      </w:r>
    </w:p>
    <w:p w:rsidR="00A62A3E" w:rsidRDefault="00000000">
      <w:pPr>
        <w:spacing w:after="120"/>
      </w:pPr>
      <w:r>
        <w:t xml:space="preserve">A journal is raised as a draft, optionally submitted for approval where a template exists for the document type, and posted once. After posting the only correction is a reversal, which is itself a posting on its own date. A direct entry compresses raise and post into one CRITICAL action.</w:t>
      </w:r>
    </w:p>
    <w:p w:rsidR="00A62A3E" w:rsidRDefault="00000000">
      <w:pPr>
        <w:pStyle w:val="Heading2"/>
        <w:keepNext/>
        <w:pBdr>
          <w:bottom w:val="single" w:sz="8" w:space="5" w:color="355B9D"/>
        </w:pBdr>
      </w:pPr>
      <w:r>
        <w:t>5.3 The Sub-Cycles That End in a Journal</w:t>
      </w:r>
    </w:p>
    <w:tbl>
      <w:tblPr>
        <w:tblW w:w="10468" w:type="dxa"/>
        <w:jc w:val="center"/>
        <w:tblLayout w:type="fixed"/>
        <w:tblLook w:val="04A0" w:firstRow="1" w:lastRow="0" w:firstColumn="1" w:lastColumn="0" w:noHBand="0" w:noVBand="1"/>
      </w:tblPr>
      <w:tblGrid>
        <w:gridCol w:w="2000"/>
        <w:gridCol w:w="4400"/>
        <w:gridCol w:w="4068"/>
      </w:tblGrid>
      <w:tr w:rsidR="00A62A3E">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Cycle</w:t>
            </w:r>
          </w:p>
        </w:tc>
        <w:tc>
          <w:tcPr>
            <w:tcW w:w="4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Recognition</w:t>
            </w:r>
          </w:p>
        </w:tc>
        <w:tc>
          <w:tcPr>
            <w:tcW w:w="4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Clearing</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accrued reimbursement.</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accrued reimbursement,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petty cash, Cr bank on establish or top-up.</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expense (+ input VAT), Cr petty cash on each voucher.</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salary expense, Cr PAYE, pension, and net wages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net wages payable, Cr bank.</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PP&amp;E, Cr bank or payable.</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Dr depreciation expense, Cr accumulated depreciation, per period.</w:t>
            </w:r>
          </w:p>
        </w:tc>
      </w:tr>
      <w:tr w:rsidR="00A62A3E">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filing</w:t>
            </w:r>
          </w:p>
        </w:tc>
        <w:tc>
          <w:tcPr>
            <w:tcW w:w="4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liability is already parked by the source transaction.</w:t>
            </w:r>
          </w:p>
        </w:tc>
        <w:tc>
          <w:tcPr>
            <w:tcW w:w="4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Filing and payment drain the control account.</w:t>
            </w:r>
          </w:p>
        </w:tc>
      </w:tr>
    </w:tbl>
    <w:p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Notes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LedgerEntity</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set of books, owned by a tenant.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scope boundary for every finance read and write.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One chart-of-accounts line.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Resolved by code where a service needs a control account.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FiscalYear, FiscalPeriod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its four-state lock.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posting guard reads the period's status.</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JournalEntry, JournalLine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balanced posting and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Reversal is a new entry, never an edit.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AccountBalance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Denormalised balances per account and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Maintained by posting; read by every report.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BankAccount, BankStatementLine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records and imported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line's amount is signed from the platform's perspective.</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ExpenseClaim, PettyCashFund, PayrollRun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spend cycles.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Each recognises a liability and clears it in a second posting.</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TaxObligation, TaxFiling</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is owed, and one return over one period.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amount is derived from the control account's movement.</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 BudgetLine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Never posts; frozen by approval.</w:t>
            </w:r>
          </w:p>
        </w:tc>
      </w:tr>
      <w:tr w:rsidR="00A62A3E">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FixedAsset and its schedule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life, and the depreciation plan.</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Accumulated depreciation is a contra-asset.</w:t>
            </w:r>
          </w:p>
        </w:tc>
      </w:tr>
    </w:tbl>
    <w:p w:rsidR="00A62A3E" w:rsidRDefault="00000000">
      <w:pPr>
        <w:pStyle w:val="Heading1"/>
        <w:keepNext/>
        <w:pBdr>
          <w:bottom w:val="single" w:sz="14" w:space="5" w:color="355B9D"/>
        </w:pBdr>
      </w:pPr>
      <w:r>
        <w:t>7. API and Validation Contracts</w:t>
      </w:r>
    </w:p>
    <w:p w:rsidR="00A62A3E" w:rsidRDefault="00000000">
      <w:pPr>
        <w:spacing w:after="120"/>
      </w:pPr>
      <w:r>
        <w:t xml:space="preserve">All routes are mounted under /v1/finance/ and require an asserted entity. The routes below are Module 19's; the billing and adjustment routes on the same prefix belong to Modules 17 and 20.</w:t>
      </w:r>
    </w:p>
    <w:p w:rsidR="00A62A3E" w:rsidRDefault="00000000">
      <w:pPr>
        <w:pStyle w:val="Heading2"/>
        <w:keepNext/>
        <w:pBdr>
          <w:bottom w:val="single" w:sz="8" w:space="5" w:color="355B9D"/>
        </w:pBdr>
      </w:pPr>
      <w:r>
        <w:t>7.1 Ledger and Calendar</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/entities/, /accounts/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and the chart of accounts.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/accounts/{id}/activity/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Movement on one account.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 /fiscal-years/, /posting-window/</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calendar and what is currently postable.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/journals/, /journals/{id}/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read journals; summary is separate.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/journals/{id}/submit/, /post/, /reverse/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journal lifecycle.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/direct-entries/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Raise and post in one CRITICAL action.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/periods/{id}/checklist/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What the close would check.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/periods/{id}/close/, /reopen/, /lock/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period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/currencies/, /fx-rates/, /tax-codes/, /cost-centers/, /dimensions/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Ledger configuration.</w:t>
            </w:r>
          </w:p>
        </w:tc>
      </w:tr>
    </w:tbl>
    <w:p w:rsidR="00A62A3E" w:rsidRDefault="00000000">
      <w:pPr>
        <w:pStyle w:val="Heading2"/>
        <w:keepNext/>
        <w:pBdr>
          <w:bottom w:val="single" w:sz="8" w:space="5" w:color="355B9D"/>
        </w:pBdr>
      </w:pPr>
      <w:r>
        <w:t>7.2 Reporting</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/reports/dashboard/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landing aggregate.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/reports/trial-balance/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cardinal balanced view.</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/reports/income-statement/, /balance-sheet/, /cash-flow/, /changes-in-equity/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primary statements.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/reports/statutory-pack/</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statements as one filing pack.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/reports/analytics-slice/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dimension or cost-centre cut.</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/audit-logs/, /audit-logs/facets/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finance audit trail.</w:t>
            </w:r>
          </w:p>
        </w:tc>
      </w:tr>
    </w:tbl>
    <w:p w:rsidR="00A62A3E" w:rsidRDefault="00000000">
      <w:pPr>
        <w:pStyle w:val="Heading2"/>
        <w:keepNext/>
        <w:pBdr>
          <w:bottom w:val="single" w:sz="8" w:space="5" w:color="355B9D"/>
        </w:pBdr>
      </w:pPr>
      <w:r>
        <w:t>7.3 Banking, Spend, Payroll, Tax, Budgets, Assets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Purpose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/bank-accounts/ and its statement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Accounts, statement lines, imports, and the import template.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/bank-accounts/{id}/auto-reconcile/, /split-match/, /reconcile/complete/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Propose matches, split one line, finish.</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/statement-lines/{id}/match/, /match-group/, /adjust/, /unmatch/, /ignore/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Resolve one line.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/expense-claims/ and /petty-cash-* routes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two small spend cycles and their postings.</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/payroll-runs/, /salary-structures/, /employee-salaries/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setup and the run.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/payroll-runs/{id}/post/, /pay/, /cancel/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Accrue, disburse, abandon.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/tax-obligations/, /tax-filings/ and their actions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Prepare, file, unfile, and pay a return.</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/budgets/ and its lines, /approve/, /variance/, /heatmap/</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Plan, freeze, and compare.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GET, POST /fixed-assets/, /acquire/, /depreciate/, /dispose/, /run-depreciation/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The asset lifecycle.</w:t>
            </w:r>
          </w:p>
        </w:tc>
      </w:tr>
    </w:tbl>
    <w:p w:rsidR="00A62A3E" w:rsidRDefault="00000000">
      <w:pPr>
        <w:pStyle w:val="Heading2"/>
        <w:keepNext/>
        <w:pBdr>
          <w:bottom w:val="single" w:sz="8" w:space="5" w:color="355B9D"/>
        </w:pBdr>
      </w:pPr>
      <w:r>
        <w:t>7.4 Typed Errors</w:t>
      </w:r>
    </w:p>
    <w:tbl>
      <w:tblPr>
        <w:tblW w:w="10468" w:type="dxa"/>
        <w:jc w:val="center"/>
        <w:tblLayout w:type="fixed"/>
        <w:tblLook w:val="04A0" w:firstRow="1" w:lastRow="0" w:firstColumn="1" w:lastColumn="0" w:noHBand="0" w:noVBand="1"/>
      </w:tblPr>
      <w:tblGrid>
        <w:gridCol w:w="4600"/>
        <w:gridCol w:w="5868"/>
      </w:tblGrid>
      <w:tr w:rsidR="00A62A3E">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Answer</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An unbalanced journal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at the posting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control account missing from a customised chart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clear missing-account error naming the code.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backdated movement the ledger could not have supported then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by the chronology guard.</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 petty-cash voucher exceeding the float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against the live GL balance.</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Editing an approved budget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Refused; approval is the lock.</w:t>
            </w:r>
          </w:p>
        </w:tc>
      </w:tr>
      <w:tr w:rsidR="00A62A3E">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Attaching an unsupported, empty, oversized, or mislabelled receipt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Refused with a field error. Previously this reached the storage layer and answered with a server error instead.</w:t>
            </w:r>
          </w:p>
        </w:tc>
      </w:tr>
    </w:tbl>
    <w:p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Contract</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Supplies the keys every view enforces, seeded by seed_finance_permissions across some thirty resources.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Runs approval where a template exists for a finance document type. The submit response carries the parked warning when nobody can approve.</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18, Payments &amp; Collections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Books confirmed collections here and reads bank statement lines for reconciliation.</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Modules 21 to 23, procurement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Post through this ledger and supply the AP and GR/IR checks a period close accepts as extra checks.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10, Import &amp; Data</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Owns the statement-import wizard; finance owns the normalisation and the invariants publish must satisfy.</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Serves the finance export datasets.</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Receives the finance audit stream.</w:t>
            </w:r>
          </w:p>
        </w:tc>
      </w:tr>
      <w:tr w:rsidR="00A62A3E">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seed_finance provisions a baseline chart and calendar; seed_finance_permissions registers the keys.</w:t>
            </w:r>
          </w:p>
        </w:tc>
      </w:tr>
    </w:tbl>
    <w:p w:rsidR="00A62A3E" w:rsidRDefault="00000000">
      <w:pPr>
        <w:pStyle w:val="Heading1"/>
        <w:keepNext/>
        <w:pBdr>
          <w:bottom w:val="single" w:sz="14" w:space="5" w:color="355B9D"/>
        </w:pBdr>
      </w:pPr>
      <w:r>
        <w:t>9. Needs Attention</w:t>
      </w:r>
    </w:p>
    <w:p w:rsidR="00A62A3E" w:rsidRDefault="00000000">
      <w:pPr>
        <w:spacing w:after="120"/>
      </w:pPr>
      <w:r>
        <w:t xml:space="preserve">These are current risks and gaps, not history.</w:t>
      </w: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RESOLVED - THE CLOSE NOW RUNS THE PAYABLES CHECKS</w:t>
            </w:r>
          </w:p>
          <w:p w:rsidR="00A62A3E" w:rsidRDefault="00000000">
            <w:pPr>
              <w:spacing w:after="20"/>
              <w:ind w:left="86" w:hanging="86"/>
            </w:pPr>
            <w:r>
              <w:rPr>
                <w:sz w:val="16"/>
              </w:rPr>
              <w:t xml:space="preserve">• The AP and GR/IR reconciliations used to reach the close only through an argument no production caller ever passed, so every close ran without them. They are now registered (FR-017) and run on every close.</w:t>
            </w:r>
          </w:p>
          <w:p w:rsidR="00A62A3E" w:rsidRDefault="00000000">
            <w:pPr>
              <w:spacing w:after="20"/>
              <w:ind w:left="86" w:hanging="86"/>
            </w:pPr>
            <w:r>
              <w:rPr>
                <w:sz w:val="16"/>
              </w:rPr>
              <w:t xml:space="preserve">• What remains is force. A blocking failure can still be overridden, which is a legitimate break-glass and is recorded as one in the audit message, but it is a route past every check the close makes.</w:t>
            </w:r>
          </w:p>
          <w:p w:rsidR="00A62A3E" w:rsidRDefault="00000000">
            <w:pPr>
              <w:spacing w:after="20"/>
              <w:ind w:left="86" w:hanging="86"/>
            </w:pPr>
            <w:r>
              <w:rPr>
                <w:sz w:val="16"/>
              </w:rPr>
              <w:t xml:space="preserve">• Required completion: decide whether forcing a close should need a permission of its own rather than a flag on the request.</w:t>
            </w:r>
          </w:p>
        </w:tc>
      </w:tr>
    </w:tbl>
    <w:p w:rsidR="00A62A3E" w:rsidRDefault="00000000">
      <w:pPr>
        <w:spacing w:after="0"/>
      </w:pPr>
    </w:p>
    <w:tbl>
      <w:tblPr>
        <w:tblW w:w="10468" w:type="dxa"/>
        <w:jc w:val="center"/>
        <w:tblLayout w:type="fixed"/>
        <w:tblLook w:val="04A0" w:firstRow="1" w:lastRow="0" w:firstColumn="1" w:lastColumn="0" w:noHBand="0" w:noVBand="1"/>
      </w:tblPr>
      <w:tblGrid>
        <w:gridCol w:w="10468"/>
      </w:tblGrid>
      <w:tr w:rsidR="00A62A3E">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rsidR="00A62A3E" w:rsidRDefault="00000000">
            <w:pPr>
              <w:keepNext/>
              <w:spacing w:after="40"/>
            </w:pPr>
            <w:r>
              <w:rPr>
                <w:b/>
                <w:color w:val="94670A"/>
                <w:sz w:val="17"/>
              </w:rPr>
              <w:t>FURTHER GAPS</w:t>
            </w:r>
          </w:p>
          <w:p w:rsidR="00A62A3E" w:rsidRDefault="00000000">
            <w:pPr>
              <w:spacing w:after="20"/>
              <w:ind w:left="86" w:hanging="86"/>
            </w:pPr>
            <w:r>
              <w:rPr>
                <w:sz w:val="16"/>
              </w:rPr>
              <w:t xml:space="preserve">• Reports read denormalised balances maintained by the posting service. They are a cache with a single writer, but a balance corrupted outside that writer would be believed.</w:t>
            </w:r>
          </w:p>
          <w:p w:rsidR="00A62A3E" w:rsidRDefault="00000000">
            <w:pPr>
              <w:spacing w:after="20"/>
              <w:ind w:left="86" w:hanging="86"/>
            </w:pPr>
            <w:r>
              <w:rPr>
                <w:sz w:val="16"/>
              </w:rPr>
              <w:t xml:space="preserve">• Depreciation is straight-line only. Reducing-balance and usage-based methods are not implemented.</w:t>
            </w:r>
          </w:p>
          <w:p w:rsidR="00A62A3E" w:rsidRDefault="00000000">
            <w:pPr>
              <w:spacing w:after="20"/>
              <w:ind w:left="86" w:hanging="86"/>
            </w:pPr>
            <w:r>
              <w:rPr>
                <w:sz w:val="16"/>
              </w:rPr>
              <w:t xml:space="preserve">• The fiscal-calendar runway warning warns but does not create the next year, so an entity that ignores it still runs out.</w:t>
            </w:r>
          </w:p>
          <w:p w:rsidR="00A62A3E" w:rsidRDefault="00000000">
            <w:pPr>
              <w:spacing w:after="20"/>
              <w:ind w:left="86" w:hanging="86"/>
            </w:pPr>
            <w:r>
              <w:rPr>
                <w:sz w:val="16"/>
              </w:rPr>
              <w:t xml:space="preserve">• Control accounts are resolved by code, so renaming a code in a customised chart stops the dependent postings until it is corrected. The failure is loud, which is the intent, but it is a runtime failure rather than a configuration-time one.</w:t>
            </w:r>
          </w:p>
          <w:p w:rsidR="00A62A3E" w:rsidRDefault="00000000">
            <w:pPr>
              <w:spacing w:after="20"/>
              <w:ind w:left="86" w:hanging="86"/>
            </w:pPr>
            <w:r>
              <w:rPr>
                <w:sz w:val="16"/>
              </w:rPr>
              <w:t xml:space="preserve">• School and branch domain integration is incomplete where a finance record needs academic ownership, tracked against Modules 11 to 16.</w:t>
            </w:r>
          </w:p>
        </w:tc>
      </w:tr>
    </w:tbl>
    <w:p w:rsidR="00A62A3E" w:rsidRDefault="00000000">
      <w:pPr>
        <w:pStyle w:val="Heading1"/>
        <w:keepNext/>
        <w:pBdr>
          <w:bottom w:val="single" w:sz="14" w:space="5" w:color="355B9D"/>
        </w:pBdr>
      </w:pPr>
      <w:r>
        <w:t>10. MRD Traceability</w:t>
      </w:r>
    </w:p>
    <w:p w:rsidR="00A62A3E" w:rsidRDefault="00000000">
      <w:pPr>
        <w:spacing w:after="120"/>
      </w:pPr>
      <w:r>
        <w:t xml:space="preserve">Module 19 carries 22 capability entries in MRD v2.12.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Requirements</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entities and books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Chart of accounts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 years and periods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Journals, posting, and reversal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Direct entries and balance validation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FR-002, FR-003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Period close, reopen, and lock</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Trial balance and financial statements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dashboard and summaries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Bank accounts and reconciliation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FR-007</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Cost centers and dimensions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FR-001, FR-016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Expense claims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FR-008</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Petty cash</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FR-009</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Tax and remittance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FR-011</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Payroll processing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FR-010</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Budgets and budget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FR-012</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Fixed assets and depreciation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FR-013</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settings and audit trail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Finance exports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Accounting-date integrity guards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Historical as-of receivables reporting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FR-004, FR-006</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Fiscal-calendar runway warning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FR-015</w:t>
            </w:r>
          </w:p>
        </w:tc>
      </w:tr>
      <w:tr w:rsidR="00A62A3E">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Registered close checks from dependent apps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FR-017, FR-018</w:t>
            </w:r>
          </w:p>
        </w:tc>
      </w:tr>
    </w:tbl>
    <w:p w:rsidR="00A62A3E" w:rsidRDefault="00000000">
      <w:pPr>
        <w:pStyle w:val="Heading1"/>
        <w:keepNext/>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trPr>
          <w:tblHeader/>
          <w:jc w:val="center"/>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rsidR="00A62A3E" w:rsidRDefault="00000000">
            <w:pPr>
              <w:spacing w:after="0"/>
            </w:pPr>
            <w:r>
              <w:rPr>
                <w:b/>
                <w:color w:val="FFFFFF"/>
                <w:sz w:val="17"/>
              </w:rPr>
              <w:t xml:space="preserve">Summary</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15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Corrected FR-008's upload contract. An expense-claim line receipt was stored with no validation of any kind, so an unsupported or oversized file was refused only by the storage layer, which answers with a server error rather than a field error, and nothing ever checked that a file's contents matched its extension. Receipts now go through the checker shared with the platform's other upload endpoints. Records the capability-URL boundary on receipt files as a current limit, and updates traceability to MRD v2.15.</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Recorded the close-check registry and the entity provisioning seam (FR-017, FR-018). The AP and GR/IR reconciliations previously reached a close only through an argument nothing in the product passed, so every close ran without them; Section 9's open risk narrows to the force flag that remains. Retraced against MRD v2.12.</w:t>
            </w:r>
          </w:p>
        </w:tc>
      </w:tr>
      <w:tr w:rsidR="00A62A3E">
        <w:trPr>
          <w:jc w:val="center"/>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rsidR="00A62A3E" w:rsidRDefault="00000000">
            <w:pPr>
              <w:spacing w:after="0"/>
            </w:pPr>
            <w:r>
              <w:rPr>
                <w:color w:val="000000"/>
                <w:sz w:val="16"/>
              </w:rPr>
              <w:t xml:space="preserve">First functional baseline for Module 19, written against the backend at 3ba18f8. Records the posting guards as the single enforcement point, the accounting-date integrity rules, the four-state period lock and its checklist, reporting off maintained balances, bank reconciliation, the expense-claim, petty-cash, payroll, tax, budget and fixed-asset cycles, and the boundary against Modules 17 and 20, which share this application but not this module.</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Finance &amp; Accounting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Finance &amp; Accounting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School and Branch Management Functional Requirements Document v1.1</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Workflow and Approval Engine Functional Requirements Document v1.0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1.0</cp:version>
</cp:coreProperties>
</file>