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22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fa82dbb (22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v2.22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vs_tenants, vs_rbac,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Where postings are guarded,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Journal, period, and sub-cycle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receipt URL is a capability rather than an object-level authorisation: the media endpoint authenticates the caller but cannot authorise per file, so a URL that escapes the people allowed to see the claim stays fetchable. Receipts stored before unguessable naming keep their old predictable names.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register_entity_provisioner runs registered callables inside the transaction that creates a ledger entity, alongside the currencies, chart of accounts and fiscal periods. Finance, procurement and payments each register their own approval ladders.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THE CLOSE NOW RUNS THE PAYABLES CHECKS</w:t>
            </w:r>
          </w:p>
          <w:p w:rsidR="00A62A3E" w:rsidRDefault="00000000">
            <w:pPr>
              <w:spacing w:after="20"/>
              <w:ind w:left="86" w:hanging="86"/>
            </w:pPr>
            <w:r>
              <w:rPr>
                <w:sz w:val="16"/>
              </w:rPr>
              <w:t xml:space="preserve">• The AP and GR/IR reconciliations used to reach the close only through an argument no production caller ever passed, so every close ran without them. They are now registered (FR-017) and run on every close.</w:t>
            </w:r>
          </w:p>
          <w:p w:rsidR="00A62A3E" w:rsidRDefault="00000000">
            <w:pPr>
              <w:spacing w:after="20"/>
              <w:ind w:left="86" w:hanging="86"/>
            </w:pPr>
            <w:r>
              <w:rPr>
                <w:sz w:val="16"/>
              </w:rPr>
              <w:t xml:space="preserve">• What remains is force. A blocking failure can still be overridden, which is a legitimate break-glass and is recorded as one in the audit message,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and branch domain integration is incomplete where a finance record needs academic ownership, tracked against Modules 11 to 16.</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24 capability entries in MRD v2.22.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