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1.4</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 xml:space="preserve">1.4</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 xml:space="preserve">24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 xml:space="preserve">938e53b (24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 xml:space="preserve">XVS Module Requirements Document v2.25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 xml:space="preserve">vs_tenants, vs_rbac, vs_config,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 xml:space="preserve">Where postings are guarded, money units, branch scope inside an entity,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 xml:space="preserve">Journal, period and sub-cycle lifecycles, and where a document's branch comes from</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2"/>
        <w:keepNext/>
        <w:pBdr>
          <w:bottom w:val="single" w:sz="8" w:space="5" w:color="355B9D"/>
        </w:pBdr>
      </w:pPr>
      <w:r>
        <w:t xml:space="preserve">2.3 Branch Scope Inside an Entity</w:t>
      </w:r>
    </w:p>
    <w:p w:rsidR="00A62A3E" w:rsidRDefault="00000000">
      <w:pPr>
        <w:spacing w:after="120"/>
      </w:pPr>
      <w:r>
        <w:t xml:space="preserve">The entity is the outer boundary and nothing crosses it. Inside one entity a second, finer dimension applies: the branch a row belongs to. Which branches a caller may work in is resolved from their role grants alone, by the same function that decides whether they may open the screen at all, so 'may I?' and 'whose rows, then?' cannot give different answers. A grant made for the whole school reaches every branch; a grant pinned to branches reaches those while they are in service; and the branch on a staff record is a home posting that decides only for somebody who holds no grants at all. A caller nothing narrows is not filtered, so a school that has never pinned a grant to a branch, and a school with a single branch, are unaffected.</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 xml:space="preserve">THE NULL BRANCH, AND WHY PROCUREMENT READS IT DIFFERENTLY</w:t>
            </w:r>
          </w:p>
          <w:p w:rsidR="00A62A3E" w:rsidRDefault="00000000">
            <w:pPr>
              <w:spacing w:after="20"/>
              <w:ind w:left="86" w:hanging="86"/>
            </w:pPr>
            <w:r>
              <w:rPr>
                <w:sz w:val="16"/>
              </w:rPr>
              <w:t xml:space="preserve">• A branch column left empty does not mean 'not set yet'. It means shared across the school, and it is a first-class value: a fee structure published once for every branch, the operations account the whole school pays into, a journal that belongs to the books rather than to a site.</w:t>
            </w:r>
          </w:p>
          <w:p w:rsidR="00A62A3E" w:rsidRDefault="00000000">
            <w:pPr>
              <w:spacing w:after="20"/>
              <w:ind w:left="86" w:hanging="86"/>
            </w:pPr>
            <w:r>
              <w:rPr>
                <w:sz w:val="16"/>
              </w:rPr>
              <w:t xml:space="preserve">• Finance reads it inclusively. A bursar granted Ikeja sees Ikeja's rows and the school-wide ones beside them. Hiding the school-wide customer from her would read as missing data rather than as a rule, and refusing her that customer's receipt would look like a broken screen.</w:t>
            </w:r>
          </w:p>
          <w:p w:rsidR="00A62A3E" w:rsidRDefault="00000000">
            <w:pPr>
              <w:spacing w:after="20"/>
              <w:ind w:left="86" w:hanging="86"/>
            </w:pPr>
            <w:r>
              <w:rPr>
                <w:sz w:val="16"/>
              </w:rPr>
              <w:t xml:space="preserve">• Procurement reads it exclusively, and that is equally correct. A purchase raised for the school as a whole belongs to head office rather than to a branch, so a branch-pinned buyer is deliberately not in that scope.</w:t>
            </w:r>
          </w:p>
          <w:p w:rsidR="00A62A3E" w:rsidRDefault="00000000">
            <w:pPr>
              <w:spacing w:after="20"/>
              <w:ind w:left="86" w:hanging="86"/>
            </w:pPr>
            <w:r>
              <w:rPr>
                <w:sz w:val="16"/>
              </w:rPr>
              <w:t xml:space="preserve">• Neither reading is a defect in the other. Which one applies is a judgement about the kind of row, argued at each call site rather than settled once for the platform, so a reader comparing this module against Module 22 should expect the two to differ and should not reconcile them.</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 A key answers whether a caller may open a screen and never names a branch; which branches they then work in is decided separately, from the same grants (Section 2.3). Every actor below should therefore be read as this role, at the branches it was granted for.</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arrive through the registry in FR-017 rather than being imported, keeping the dependency one-way. Reopen and lock are separate, permissioned actions, and a forced close is audited as forced.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can still be forced past a blocking failure. That is a deliberate break-glass and the audit message says so, but it is a way past every check on this list.</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 Separately, none of these statements is narrowed to the branches the reader is entitled to, which is this module's open gap: see FR-019 and Section 9.</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Posting a claim debits the expenses and any recoverable input VAT and credits accrued reimbursement; settling debits accrued reimbursement and credits bank. Claims can also be rejected or voided, and line receipts attached. A receipt is validated before it reaches storage - extension, size, and the leading bytes agreeing with the extension - through the checker shared with the other upload endpoints on the platform.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A receipt URL is a capability rather than an object-level authorisation: the media endpoint authenticates the caller but cannot authorise per file, so a URL that escapes the people allowed to see the claim stays fetchable. Receipts stored before unguessable naming keep their old predictable names.</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One entity's ledger must never be readable or writable by another, and no level of permission may widen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visible_entities() is the single authority for which sets of books a caller may see, scoping on the asserted tenant alone. resolve_entity() reads from it, so every entity-scoped endpoint filters through the same answer, and the list endpoint reads from it too, so a picker can no longer offer books that opening them would refuse.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A platform caller sees only CodeX's own books, by code and by primary key, and a school caller sees only its school's; the boundary is asserted in both directions. One test walks everything the list returns and opens each one, so the list and the resolver cannot drift apart again without failing. 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Reaching another tenant's ledger is deliberately not a permission. It is done by proxying a user who holds the finance key in that tenant, which changes the asserted tenant, so the books are read as somebody entitled to them and the act is attributable. Entity is the outer boundary only; the finer narrowing inside one entity is branch, and it is FR-019 to FR-021.</w:t>
            </w:r>
          </w:p>
        </w:tc>
      </w:tr>
    </w:tbl>
    <w:p w:rsidR="00A62A3E" w:rsidRDefault="00000000">
      <w:pPr>
        <w:spacing w:after="0"/>
      </w:pPr>
    </w:p>
    <w:p w:rsidR="00A62A3E" w:rsidRDefault="00000000">
      <w:pPr>
        <w:pStyle w:val="Heading2"/>
        <w:keepNext/>
        <w:pBdr>
          <w:bottom w:val="single" w:sz="8" w:space="5" w:color="355B9D"/>
        </w:pBdr>
      </w:pPr>
      <w:r>
        <w:t>FR-017 Let a Dependent App Contribute a Close Check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close must be able to run checks this module cannot write, without this module importing the app that owns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register_close_check takes a callable invoked as (entity, period) returning a checklist item, an iterable of them, or nothing. Procurement registers its AP and GR/IR reconciliations from its own startup, the same inversion the workflow handlers and export datasets use.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registered check that raises is reported as a failed blocking item rather than escaping or vanishing: a check that cannot answer is not a check that passed. Registration is idempotent, so a module imported twice does not double the check.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replaced an extra_checks argument that only a test ever passed, so until now every close in the product ran without the payables checks and could seal a period over an unreconciled AP position while reporting success.</w:t>
            </w:r>
          </w:p>
        </w:tc>
      </w:tr>
    </w:tbl>
    <w:p w:rsidR="00A62A3E" w:rsidRDefault="00000000">
      <w:pPr>
        <w:spacing w:after="0"/>
      </w:pPr>
    </w:p>
    <w:p w:rsidR="00A62A3E" w:rsidRDefault="00000000">
      <w:pPr>
        <w:pStyle w:val="Heading2"/>
        <w:keepNext/>
        <w:pBdr>
          <w:bottom w:val="single" w:sz="8" w:space="5" w:color="355B9D"/>
        </w:pBdr>
      </w:pPr>
      <w:r>
        <w:t>FR-018 Provision What the Books Depend 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Creating a tenant's books must also create the controls over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register_entity_provisioner runs registered callables inside the transaction that creates a ledger entity, alongside the currencies, chart of accounts and fiscal periods. Finance, procurement and payments each register their own approval ladders.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that raises rolls the entity back rather than leaving books without their gates, and provisioners are idempotent so a second entity in one tenant finds the earlier work and leaves it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pStyle w:val="Heading2"/>
        <w:keepNext/>
        <w:pBdr>
          <w:bottom w:val="single" w:sz="8" w:space="5" w:color="355B9D"/>
        </w:pBdr>
      </w:pPr>
      <w:r>
        <w:t xml:space="preserve">FR-019 Narrow Every Read to the Caller's Branches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rsidR="00A62A3E" w:rsidRDefault="00000000">
            <w:pPr>
              <w:spacing w:after="0"/>
            </w:pPr>
            <w:r>
              <w:rPr>
                <w:b/>
                <w:color w:val="A86800"/>
              </w:rPr>
              <w:t xml:space="preserve">FR-019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granted a branch must read that branch's rows and the school-wide ones beside them, and must not read another branch's.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rule lives once, in the platform scoping module, promoted from procurement's local helper rather than copied, so the two cannot drift apart. It renders a caller's branches as a filter that drops into an existing query, which serves lists, aggregates and detail lookups alike, and it is applied at 49 view methods across ten finance modules: every branch-bearing list, every summary above one, and every detail and action lookup by identifier. The inclusive reading is spelled out at every one of those call sites rather than left to the default, because getting it backwards hides rows in a way that reads as missing data rather than as a permissions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caller nothing narrows renders to an empty filter, which compiles to byte-identical SQL, so a whole-tenant caller and a school with one branch are not merely unaffected but indistinguishable from before. The evidence is taken over real HTTP with real grants against two shapes of school, a three-branch one and a single-branch one; three rather than two, because with only two branches a filter that quietly means any branch but that one still passes. Every case names the school-wide row explicitly rather than counting a set, and a rival tenant proves the narrowing has not weakened the tenant boundary it sits inside.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financial statements are not narrowed: trial balance, balance sheet, income statement, cash flow, changes in equity, the statutory pack, AR aging, AR reconciliation, the finance dashboard, budget variance and heatmap, and account activity. Ikeja's bursar opens the income statement and reads all three branches' surplus. Each of these aggregates ledger lines rather than listing rows that carry a branch of their own, which is why they were named and deferred rather than folded in half-done; Section 9 states what a fix needs.</w:t>
            </w:r>
          </w:p>
        </w:tc>
      </w:tr>
    </w:tbl>
    <w:p w:rsidR="00A62A3E" w:rsidRDefault="00000000">
      <w:pPr>
        <w:spacing w:after="0"/>
      </w:pPr>
    </w:p>
    <w:p w:rsidR="00A62A3E" w:rsidRDefault="00000000">
      <w:pPr>
        <w:pStyle w:val="Heading2"/>
        <w:keepNext/>
        <w:pBdr>
          <w:bottom w:val="single" w:sz="8" w:space="5" w:color="355B9D"/>
        </w:pBdr>
      </w:pPr>
      <w:r>
        <w:t xml:space="preserve">FR-020 Stamp the Branch a Document Was Raised At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document must record the branch it was raised at, and a document continuing a chain must take its branch from the chain rather than from whoever is typing.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row acquires a branch in exactly two ways. It starts a chain and captures the caller's: a caller pinned to one branch stamps it, naming a branch outside their own set is refused as a 403, and a caller nothing narrows writes none, which is the honest answer for somebody not pinned anywhere. A caller pinned to several who names none is a 400 telling them to name it, because guessing would file the row school-wide for the life of it and nothing later in the chain could narrow it again. Or it continues a chain, and takes its branch from the source and from nothing else; sources that disagree resolve to the school as a whole. Three row types take the permissive reading instead, each argued at its own call site: a fee structure is a template published once for every branch, one operations account the whole school pays into is the ordinary arrangement for a bank account, and a central payroll run covers everybody the school employs (FR-021). In all three, a caller pinned to a single branch still stamps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Inheritance closed a write-side hole at the same choke point: the customer lookup and the petty-cash fund lookup were not branch-filtered, so a Lekki bursar could name an Ikeja family by code. She is refused there now, for every receivables document at once. Three propagation paths that were missing rather than deliberately empty are joined up: the opening-balance invoice takes its customer's branch, a fee run bills each family in its own branch rather than the template's, and the gateway receipt in Module 18 inherits too, which matters because that is how most parents actually pay and without it one family's ledger split across two scopes.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Four writes stay school-wide deliberately, because each aggregates the whole entity: the year-end close, opening-balance direct entries, the depreciation run, and tax filings. Uniqueness checks stay entity-wide as well, so two branches cannot mint the same customer code. Nothing was migrated: a document raised before this landed carries no branch and stays school-wide, which is the correct reading of it, but it means the column describes new data only.</w:t>
            </w:r>
          </w:p>
        </w:tc>
      </w:tr>
    </w:tbl>
    <w:p w:rsidR="00A62A3E" w:rsidRDefault="00000000">
      <w:pPr>
        <w:spacing w:after="0"/>
      </w:pPr>
    </w:p>
    <w:p w:rsidR="00A62A3E" w:rsidRDefault="00000000">
      <w:pPr>
        <w:pStyle w:val="Heading2"/>
        <w:keepNext/>
        <w:pBdr>
          <w:bottom w:val="single" w:sz="8" w:space="5" w:color="355B9D"/>
        </w:pBdr>
      </w:pPr>
      <w:r>
        <w:t xml:space="preserve">FR-021 Run Payroll Centrally or Per Branch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school must be able to run one payroll for everybody or one for each branch, and neither arrangement may pay somebody twice or miss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scope is a school-level setting, central or per branch, defaulting to central, so every school behaves exactly as it did until it opts in deliberately. It is not a platform setting, because one flip would move every school past its own roster check, and not a branch setting, because a branch disagreeing with its siblings about how the school runs payroll is a contradiction rather than a configuration. The employee salary record gained a branch of its own, nullable and not backfilled, which is what made a branch run answerable at all: before it, asking a run to cover one branch asked the roster a question it could not answer. The same change narrowed the salary lookup, which had been entity-scoped only, so an Ikeja officer could rewrite a Lekki teacher's gross pay by guessing an identifier; it is now narrowed like every other finance read, on update and delete alike.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branch run reads its branch exclusively, which is the opposite of every other read in this module and the reason it is stated twice. If it read inclusively, a salary row with no branch would appear in Ikeja's run, Lekki's and Yaba's, and that person would be paid three times while every individual screen looked correct. The mirror risk is prevented rather than reported: because head office is itself a branch, everybody can be assigned to one, so the switch to per-branch payroll is refused while any active salary row has none, and the refusal names those people rather than counting them, since 4 staff are unassigned sends a bursar hunting through a roster of 109. Inactive rows do not block, and switching back to central is never guarded. Two live runs may share a period only when both are branch-scoped and to different branches, and the same period means the fiscal period containing the pay date rather than the typed label, because Jan 2026 and January 2026 are one payroll to everyone except a string comparison. Roster reads stay inclusive while runs are exclusive, deliberately: somebody must see an unassigned row in order to assign it, but no branch run may pay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Under the central default a run stamps no branch, so a central school's payroll records remain school-wide and the dimension is absent rather than empty. A school moving to per-branch payroll must assign every active employee first, and that is done one salary record at a time; the refusal names who is left, but there is no bulk assignment path.</w:t>
            </w:r>
          </w:p>
        </w:tc>
      </w:tr>
    </w:tbl>
    <w:p w:rsidR="00A62A3E" w:rsidRDefault="00000000">
      <w:pPr>
        <w:spacing w:after="0"/>
      </w:pPr>
    </w:p>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2"/>
        <w:keepNext/>
        <w:pBdr>
          <w:bottom w:val="single" w:sz="8" w:space="5" w:color="355B9D"/>
        </w:pBdr>
      </w:pPr>
      <w:r>
        <w:t xml:space="preserve">5.4 Where a Document's Branch Comes From</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Situation</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Branch on the new row</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caller pinned to one branch raises a document.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That branch.</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She works in one place, so naming a different one is refused rather than retargeted.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caller pinned to several raises one and names none.</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a message naming the field.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There is no obvious default, and guessing would file it school-wide for the life of the row.</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caller pinned to several names one of her own.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branch she named.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choice rather than a guess.</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Any caller names a branch outside her own 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branch belonging to another school is reported identically, so the field cannot be used to discover one.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caller nothing narrows raises a document.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school-wide.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honest answer for somebody who is not pinned anywhere.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document continues a chain.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source's branch, whatever the body says.</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chain decides, not whoever is typing. Sources that disagree resolve to school-wide.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fee structure, a bank account, or a central payroll run.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School-wide where the caller covers several branches.</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is genuinely published or held once for the whole school.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Year-end close, opening-balance direct entries, the depreciation run, a 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always.</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aggregates the whole entity, so school-wide is correct rather than missing.</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 Branch is a finer dimension inside it, never a substitute for 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Branch on a finance document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branch the document was raised at, or none for school-wide.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Stamped at creation or inherited from the source, and read inclusively (FR-019, FR-020).</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EmployeeSalary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employee's pay terms, and the branch that employs them.</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Nullable and not backfilled; a branch payroll run reads it exclusively (FR-021).</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/payroll-runs/?branch=, /employee-salaries/?branch=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Filter the runs list or the roster by branch; ?branch=unassigned finds the people no branch owns.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Attaching an unsupported, empty, oversized, or mislabelled 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Refused with a field error. Previously this reached the storage layer and answered with a server error instead.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Creating a document without naming a branch, by a caller who works in several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a field error asking for the branch, rather than defaulted to school-wide.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Naming a branch the caller does not work in, or continuing another branch's chain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 branch belonging to another school is reported identically.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Switching a school to per-branch payroll while an active employee has no branch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naming the staff who are still unassigned.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Two live payroll runs covering the same fiscal period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unless both are branch-scoped and to different branches.</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 and the branch narrowing every finance read and write resolves from. That answer is read out of the caller's role grants, not out of the branch on their staff record, and the same answer serves the permission gate.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6, Configuration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Holds the payroll scope as a school setting. Finance supplies the guard that refuses the switch, so the rule lives here and the configuration engine still knows nothing about employees.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 xml:space="preserve">CURRENT GAP - THE FINANCIAL STATEMENTS ARE NOT NARROWED BY BRANCH</w:t>
            </w:r>
          </w:p>
          <w:p w:rsidR="00A62A3E" w:rsidRDefault="00000000">
            <w:pPr>
              <w:spacing w:after="20"/>
              <w:ind w:left="86" w:hanging="86"/>
            </w:pPr>
            <w:r>
              <w:rPr>
                <w:sz w:val="16"/>
              </w:rPr>
              <w:t xml:space="preserve">• Every other branch-bearing read in this module narrows to the caller's branches (FR-019). These do not: trial balance, balance sheet, income statement, cash flow, changes in equity, the statutory pack, AR aging, AR reconciliation, the finance dashboard, budget variance and heatmap, and account activity.</w:t>
            </w:r>
          </w:p>
          <w:p w:rsidR="00A62A3E" w:rsidRDefault="00000000">
            <w:pPr>
              <w:spacing w:after="20"/>
              <w:ind w:left="86" w:hanging="86"/>
            </w:pPr>
            <w:r>
              <w:rPr>
                <w:sz w:val="16"/>
              </w:rPr>
              <w:t xml:space="preserve">• What it looks like on a screen: Corona runs Ikeja, Lekki and Yaba. Mrs Bello is Bursar at Ikeja, and her lists show Ikeja's rows and the school-wide ones. She opens the income statement and reads all three branches' surplus.</w:t>
            </w:r>
          </w:p>
          <w:p w:rsidR="00A62A3E" w:rsidRDefault="00000000">
            <w:pPr>
              <w:spacing w:after="20"/>
              <w:ind w:left="86" w:hanging="86"/>
            </w:pPr>
            <w:r>
              <w:rPr>
                <w:sz w:val="16"/>
              </w:rPr>
              <w:t xml:space="preserve">• This was named and deferred, not overlooked. The statements aggregate ledger lines through several different relation paths, so narrowing them is a design round of its own rather than a filter dropped into each query, and half-doing it would have been worse than leaving it whole and saying so.</w:t>
            </w:r>
          </w:p>
          <w:p w:rsidR="00A62A3E" w:rsidRDefault="00000000">
            <w:pPr>
              <w:spacing w:after="20"/>
              <w:ind w:left="86" w:hanging="86"/>
            </w:pPr>
            <w:r>
              <w:rPr>
                <w:sz w:val="16"/>
              </w:rPr>
              <w:t xml:space="preserve">• Required completion: narrow them through the same scope object, once per relation path, deciding for each path whether a row with no branch is shared across the school or is a scope of its own. Where a statement is an entity-level report by definition, record that decision in the code, so the absence is a decision rather than an omission.</w:t>
            </w:r>
          </w:p>
          <w:p w:rsidR="00A62A3E" w:rsidRDefault="00000000">
            <w:pPr>
              <w:spacing w:after="20"/>
              <w:ind w:left="86" w:hanging="86"/>
            </w:pPr>
            <w:r>
              <w:rPr>
                <w:sz w:val="16"/>
              </w:rPr>
              <w:t xml:space="preserve">• Module 4 owns the rule and carries the same item at P2, and MRD v2.25 carries it as the priority gap against Modules 19 and 4. The three agree that this is what remains open.</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 xml:space="preserve">A CLOSE CAN STILL BE FORCED PAST A FAILED CHECK</w:t>
            </w:r>
          </w:p>
          <w:p w:rsidR="00A62A3E" w:rsidRDefault="00000000">
            <w:pPr>
              <w:spacing w:after="20"/>
              <w:ind w:left="86" w:hanging="86"/>
            </w:pPr>
            <w:r>
              <w:rPr>
                <w:sz w:val="16"/>
              </w:rPr>
              <w:t xml:space="preserve">• The close runs the payables checks a dependent app registers (FR-017), so it can no longer seal a period over an unreconciled AP position while reporting success.</w:t>
            </w:r>
          </w:p>
          <w:p w:rsidR="00A62A3E" w:rsidRDefault="00000000">
            <w:pPr>
              <w:spacing w:after="20"/>
              <w:ind w:left="86" w:hanging="86"/>
            </w:pPr>
            <w:r>
              <w:rPr>
                <w:sz w:val="16"/>
              </w:rPr>
              <w:t xml:space="preserve">• What remains is force. A blocking failure can still be overridden. That is a legitimate break-glass and the audit message records it as forced, but it is a route past every check the close makes.</w:t>
            </w:r>
          </w:p>
          <w:p w:rsidR="00A62A3E" w:rsidRDefault="00000000">
            <w:pPr>
              <w:spacing w:after="20"/>
              <w:ind w:left="86" w:hanging="86"/>
            </w:pPr>
            <w:r>
              <w:rPr>
                <w:sz w:val="16"/>
              </w:rPr>
              <w:t xml:space="preserve">• Required completion: decide whether forcing a close should need a permission of its own rather than a flag on the request.</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 xml:space="preserve">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domain integration is incomplete where a finance record needs academic ownership, tracked against Modules 11 to 16. That is a separate matter from branch scope, which FR-019 to FR-021 record and whose one open gap is stated above.</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24 capability entries in MRD v2.25.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 FR-019,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FR-019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FR-019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 FR-019,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FR-019,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FR-019,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 FR-019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 FR-019, FR-021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 FR-019,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Registered close checks from dependent apps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 FR-018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One-call books provisioning service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primary set of books per tenant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 FR-018</w:t>
            </w:r>
          </w:p>
        </w:tc>
      </w:tr>
    </w:tbl>
    <w:p w:rsidR="00A62A3E" w:rsidRDefault="00000000">
      <w:pPr>
        <w:spacing w:after="120"/>
      </w:pPr>
      <w:r>
        <w:t xml:space="preserve">All 24 entries are traced above; the two provisioning entries were inside the count in every prior version but had never been listed. Module number, name, phase, backend and integration states and code ownership agree with MRD v2.25. The MRD's Module 19 note, Module 4's FRD v1.2 and this document agree on what is open: the branch narrowing has landed on every branch-bearing read and write here, and the financial statements are the one surface it has not reached.</w:t>
      </w:r>
    </w:p>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1.4</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Records branch scoping, the one dimension this module enforces and had never documented. Nothing in v1.3 was wrong; it was silent. Finance's reads have narrowed to the caller's branches and its writes have stamped the branch a document was raised at since 20 August, and neither appeared anywhere in the document. Three requirements are added. FR-019 records the read half: the rule lives once in the platform scoping module, promoted from procurement's local helper rather than copied so the two cannot drift, and is applied at 49 view methods across ten finance modules, with the inclusive reading of an empty branch spelled out at every call site. FR-020 records the write half: a caller pinned to one branch stamps it, a caller pinned to several who names none is refused rather than defaulted, naming a branch outside one's own set is refused, an unpinned caller writes school-wide, and a document continuing a chain takes its branch from the source and from nothing else. Inheritance also closed a write-side hole, where the customer and petty-cash fund lookups were not branch-filtered and a Lekki bursar could name an Ikeja family by code, and three propagation paths that were missing rather than deliberately empty are joined up, the gateway receipt among them, which is how most parents actually pay. FR-021 records per-branch payroll: the scope is a school setting defaulting to central, so nothing changes until a school opts in; a branch run reads its branch exclusively, because an inclusive reading would pay an unassigned person once per branch; the switch is refused while anybody active is unassigned, and the refusal names them; and the salary lookup, which had been entity-scoped only so an Ikeja officer could rewrite a Lekki teacher's gross pay, is narrowed with it. Section 2.3 states the reading of an empty branch and records plainly that Module 22 reads it exclusively and is also correct, so a later reader does not treat one as a bug; Section 5.4 tabulates where a document's branch comes from. Needs Attention is restated as current state and led by this module's open gap: the financial statements are not narrowed, so Ikeja's bursar opens the income statement and reads all three branches' surplus. That was named and deferred rather than overlooked, and it needs a design round of its own because the statements aggregate ledger lines through several relation paths. FR-019 carries it as its own limit and is this document's first requirement in the Implemented with limits state; FR-006 and FR-016 gain cross-references. No existing requirement changed state, because v1.3's requirements were true when written and remain true. Traceability is retraced against MRD v2.25 and gains the two capability entries the count of 24 had always included but the table had never listed. Reconciled with Module 4 v1.2, which owns the branch rule and carries the same statements gap at P2.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22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Corrected FR-016, which claimed a boundary the code did not hold. Its evidence said every endpoint resolves the entity from the request and filters on it, and its current limit said None. The list endpoint did neither: GET /entities/ skipped its tenant filter whenever the caller's tenant kind was PLATFORM, so it started from a global queryset for exactly the callers with the most reach, while resolve_entity granted no such exemption. The console listed every school's set of books and then answered "No ledger entity matches" on each one, so the disclosure presented itself as a broken picker. visible_entities() is now the single authority both paths read, and FR-016 states the rule the module actually enforces: scope follows the asserted tenant, seniority does not widen it, and cross-tenant reading is done by proxying a user who holds the key there. A test asserting that platform staff see every entity had been holding the old behaviour in place; it now asserts the rule, and a new class covers the boundary on both paths, by code and by primary key, in both directions. Retraced against MRD v2.22 and its corrected count of 24 capability entries.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Corrected FR-008's upload contract. An expense-claim line receipt was stored with no validation of any kind, so an unsupported or oversized file was refused only by the storage layer, which answers with a server error rather than a field error, and nothing ever checked that a file's contents matched its extension. Receipts now go through the checker shared with the platform's other upload endpoints. Records the capability-URL boundary on receipt files as a current limit, and updates traceability to MRD v2.15.</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close-check registry and the entity provisioning seam (FR-017, FR-018). The AP and GR/IR reconciliations previously reached a close only through an argument nothing in the product passed, so every close ran without them; Section 9's open risk narrows to the force flag that remains. Retraced against MRD v2.12.</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