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1.2</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24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v2.25 | Module 22</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20"/>
      </w:pPr>
      <w:r>
        <w:t>A school may or may not have branches, and both shapes must work. A requisition may carry a branch or none, and which it carries follows the raiser's role grants rather than their staff record: somebody granted at one branch stamps it, somebody granted at several who names none is refused and told to name one, and somebody holding the role for the whole school files the request school-wide. A stage declared branch-scoped resolves approvers assigned at the document's branch plus those assigned tenant-wide; an entity-level request with no branch resolves tenant-wide approvers only. An approver appointed at one site is never routed another site's request. Reads follow the same answer, and read a null branch exclusively: a purchase raised for the school as a whole belongs to the school as a whole and is not shown to staff pinned to a site, which is the opposite of the inclusive reading finance takes of the same column and is argued at each call site rather than inherited.</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Membership of the role the stage names, plus the queue's view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procurement.competition.override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approval ladders and read the coverage report.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procurement.approval.manage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can describe what they need, line by line, without being able to set the totals the platform will act 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should learn that the budget will not cover a request before submitting it, not after approval.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Approval is not a direct endpoint on the document; it goes through the shared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submit_for_approval hands the document to Module 7, which selects the template for the scope, activates stages, and calls the registered handler back on a terminal decision. The handler flips the procurement approval state and applies the document-type effect.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submit response carries the approval block, so the client learns in the same round trip when nobody can approve what was just submitted, and what would fix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must have its own rules rather than sharing one platform ladder, and provisioning must leave them closed rather than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ensure_tenant_approval_templates publishes a tenant-scoped ladder per document type, non-destructively, and creates the approving roles without appointing anybody. ensure_default_approval_templates publishes the platform fallback. seed_procurement_approvals is the operational half, and an endpoint offers the same to an administrator.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after an administrator customised a ladder reports it and leaves it alone; only the platform row upserts. A tenant's template wins over the platform row through the engine's own cascade. The seed now runs inside the transaction that creates a tenant's books, registered through finance's entity provisioning, so the gate arrives with the chart of accounts rather than with a remembered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tenants created after the change are covered automatically; seed_procurement_approvals remains the route for the ones before it.</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Controlled spend must never approve itself because the stage happened to resolve to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Parking must not be a trap: appointing somebody should be enough to release the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Appointing somebody to the approving role releases the document with no resubmission. The repair leaves a staffed stage untouched, and it never crosses a tenant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For the case where nobody can be appointed in time, there must be exactly one way out, and it must be narrow.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administrator must be able to see, before a document parks, which branch and stage nobody can staff.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coverage report projects two things the engine already owns: the template the engine would resolve for that scope through its own cascade, and the people, resolved through the engine's own role-holder lookup.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it calls the same lookup routing calls, the report and live routing cannot disagree about who is eligible. Gaps are named as gaps, per branch and per stage. Only display-safe fields are returned; a person's email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tables are tenant-scoped, but a ledger entity is narrower, and a queue must not leak across that line.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can ask several vendors to price the same requirement, and the terms they price must not move under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carries lines and invitations, and can be issued, amended, closed, or cancelled. Issuing freezes what the invited vendors price. Invitations can be resent and extended individually.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cannot be issued with no lines, and cannot be issued with nobody invited: one addressee is a hard floor, because an RFQ nobody received cannot be answered.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FR-011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Where policy requires several quotes, issuing with fewer must be a deliberate, recorded exception rather than an oversight.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invited vendor must be able to respond without being given a platform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tokenised public form serves the RFQ, and the vendor requests and verifies an emailed code before the form opens. They can submit, revise, acknowledge, decline, and attach documents.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routes are the only unauthenticated surface in the module and are scoped by the token to one invitation. Access is proved by possession of the token and the code, not by a session.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token is as strong as the mailbox it was sent to. There is no second factor beyond the emailed code.</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winning quote must convert into a purchase order without losing the evidence of how it was chosen.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How a supplier was chosen must be reconstructable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needs the state of their own pipeline without paging through every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here; a purchase order is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vendors respond on the tokenised form after verifying an emailed code. Invitations can be resent or extended.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Quotations are submitted, becoming firm offers, and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Optionally raised off an approved requisition.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templates, approver resolution, routing, eligibility and the parked-approval repair. This module registers handlers, publishes its default ladders through the engine's publish service, and fences every call to the four procurement document types.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approving roles the seeded stages name and the keys the views enforce, including the two CRITICAL overrides.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vendors invited to quote and the catalogue lines requisitions default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reminders and the vendor verification code.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Tenants created before the ladders became part of provisioning still need seed_procurement_approvals run once, and nothing reports which those are.</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tc>
      </w:tr>
    </w:tbl>
    <w:p w:rsidR="00A62A3E" w:rsidRDefault="00000000">
      <w:pPr>
        <w:pStyle w:val="Heading1"/>
        <w:keepNext/>
        <w:pBdr>
          <w:bottom w:val="single" w:sz="14" w:space="5" w:color="355B9D"/>
        </w:pBdr>
      </w:pPr>
      <w:r>
        <w:t>10. MRD Traceability</w:t>
      </w:r>
    </w:p>
    <w:p w:rsidR="00A62A3E" w:rsidRDefault="00000000">
      <w:pPr>
        <w:spacing w:after="120"/>
      </w:pPr>
      <w:r>
        <w:t>Module 22 carries 13 capability entries in MRD v2.25.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