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1.3</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1.3</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15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c971596 plus the uncommitted vendor-document attachment change (15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v2.15</w:t>
            </w:r>
          </w:p>
          <w:p w14:paraId="6ED54A36" w14:textId="77777777" w:rsidR="00A62A3E" w:rsidRDefault="00000000">
            <w:pPr>
              <w:spacing w:after="0"/>
            </w:pPr>
            <w:r>
              <w:rPr>
                <w:color w:val="000000"/>
                <w:sz w:val="17"/>
              </w:rPr>
              <w:t>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The order email is scheduled, rendered and delivered through a durable path with a preview endpoint, a per-delivery record, and an explicit retry.</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failed send is visible as a delivery record and can be retried without re-issuing the order.</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An approved but unposted payment has changed nothing in the books, so an approval cannot be mistaken for a disbursement.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gives each one an unguessable name; the resulting URL is a capability handed only to a caller already allowed to read the owning document.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Access is capability-based, not object-level. The media endpoint authenticates the caller but cannot authorise per file, so a URL that leaks remains fetchable by any authenticated user.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Branch scoping is unfinished where operational ownership of a purchase document is branch-specific. Tracked against Modules 22 to 24.</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23 carries 19 capability entries in MRD v2.15.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