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1.4</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rPr>
                <w:color w:val="000000"/>
                <w:sz w:val="17"/>
              </w:rPr>
              <w:t>1.4</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rPr>
                <w:color w:val="000000"/>
                <w:sz w:val="17"/>
              </w:rPr>
              <w:t>24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rPr>
                <w:color w:val="000000"/>
                <w:sz w:val="17"/>
              </w:rPr>
              <w:t>c971596 plus the uncommitted vendor-document attachment change (15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rPr>
                <w:color w:val="000000"/>
                <w:sz w:val="17"/>
              </w:rPr>
              <w:t>XVS Module Requirements Document v2.25</w:t>
            </w:r>
          </w:p>
          <w:p w14:paraId="6ED54A36" w14:textId="77777777" w:rsidR="00A62A3E" w:rsidRDefault="00000000">
            <w:pPr>
              <w:spacing w:after="0"/>
            </w:pPr>
            <w:r>
              <w:rPr>
                <w:color w:val="000000"/>
                <w:sz w:val="17"/>
              </w:rPr>
              <w:t>Module 23</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23 is the half of procure-to-pay that touches the books. It commits the entity with a purchase order, recognises cost when goods arrive, matches the supplier's bill against what was ordered and received, creates the payable, and settles it. Its organising control is GR/IR clearing, which is what keeps a receipt and a bill from double-counting the same cost.</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and cycle analytics.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procurement.report.view</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commitment to a supplier must be an explicit, approvable act with server-derived totals.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Emailing a purchase order must be durable and retryable rather than fire-and-forget.</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The order email is scheduled, rendered and delivered through a durable path with a preview endpoint, a per-delivery record, and an explicit retry.</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failed send is visible as a delivery record and can be retried without re-issuing the order.</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Cost belongs in the period the goods arrived, not the period the bill turned up.</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supplier's bill must be checked against what was ordered and what actually arrived before it becomes a payable.</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The same supplier invoice must not be capturable twice, and a retried submission must not create a second one.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Posting a matched bill must clear what the receipt parked and recognise what is owed.</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Paying more than is currently billed must not read as the supplier owing the entity money.</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Money already paid must be usable against a bill that arrives afterwards.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Approving a payment must not be the same act as paying it.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An approved but unposted payment has changed nothing in the books, so an approval cannot be mistaken for a disbursement.</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None.</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payment made in error must be undoable as a recorded event.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spacing w:after="0"/>
            </w:pPr>
            <w:r>
              <w:rPr>
                <w:b/>
                <w:color w:val="1F7A4D"/>
              </w:rPr>
              <w:t>FR-011 | Implemented</w:t>
            </w:r>
          </w:p>
        </w:tc>
      </w:tr>
      <w:tr w:rsidR="00A62A3E" w14:paraId="4B72414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spacing w:after="0"/>
            </w:pPr>
            <w:r>
              <w:rPr>
                <w:color w:val="000000"/>
                <w:sz w:val="17"/>
              </w:rPr>
              <w:t>A supplier on hold or failing KYC must not be payable, however the payment was raised.</w:t>
            </w:r>
          </w:p>
        </w:tc>
      </w:tr>
      <w:tr w:rsidR="00A62A3E" w14:paraId="611F28E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spacing w:after="0"/>
            </w:pPr>
            <w:r>
              <w:rPr>
                <w:b/>
                <w:color w:val="1F7A4D"/>
              </w:rPr>
              <w:t>FR-012 | Implemented</w:t>
            </w:r>
          </w:p>
        </w:tc>
      </w:tr>
      <w:tr w:rsidR="00A62A3E" w14:paraId="5E897EC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spacing w:after="0"/>
            </w:pPr>
            <w:r>
              <w:rPr>
                <w:color w:val="000000"/>
                <w:sz w:val="17"/>
              </w:rPr>
              <w:t>What is owed, to whom, for how long, and what has been received but not billed must all be answerable.</w:t>
            </w:r>
          </w:p>
        </w:tc>
      </w:tr>
      <w:tr w:rsidR="00A62A3E" w14:paraId="160DEEC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w:t>
            </w:r>
          </w:p>
        </w:tc>
      </w:tr>
      <w:tr w:rsidR="00A62A3E" w14:paraId="7A44E66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FR-013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A period must not be sealed over an unreconciled payables position.</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FR-014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The supplier's own invoice, and the receipt they issue once paid, must be held against the documents they belong to.</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gives each one an unguessable name; the resulting URL is a capability handed only to a caller already allowed to read the owning document.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Access is capability-based, not object-level. The media endpoint authenticates the caller but cannot authorise per file, so a URL that leaks remains fetchable by any authenticated user. Nothing here posts to the ledger.</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An attachment URL is a capability, not an object-level authorisation. The media endpoint can only tell that the caller is logged in, so a URL that escapes the people allowed to see the document stays fetchable. Files stored before unguessable naming keep their old predictable names.</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23 carries 19 capability entries in MRD v2.25.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cp:coreProperties>
</file>