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 xml:space="preserve">1.1.1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 xml:space="preserve">21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v2.13 | Module 24</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vs_schools, vs_rbac,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Valuing an outflow at the current moving average and posting it to expense.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history, valuation and reorder reports.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items, movements, valuation and reorder reports.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procurement.stock.view,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item master records.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procurement.stock.manage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stock to an expense account.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procurement.stock.issue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item must name where its value sits and where its consumption goes.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recorded stock value must equal the general-ledger inventory balance at all times.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 must be reproducible exactly, not approximately.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Receiving stock-tracked goods must raise quantity and value at the purchase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outflow must be valued at what the stock is currently held at, and must reach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values the outflow at the current moving average and posts debit expense, credit inventory through the finance posting service. Availability is checked by the stock service, which owns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beyond what is on hand is refused rather than driving the balance negative. The expense lands on the account the item names.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count that disagrees with the record must be recordable as a signed correction with a ledger consequence.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adjustment is a signed stock-count, shrinkage or write-up correction that posts the value delta between inventory and an adjustment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the position was reached must not be rewritable.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Stock must record where it physically is, so one site cannot spend another's.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measured at the issuing location, so an issue of 500 at a branch holding 300 is refused even when the entity holds 1,000. A movement snapshots its own location's balance, so the history reconstructs one site's position rather than a blend.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site that bought dearer must relieve inventory at its own cost, not at a blend with every other site.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with one store must not have to think about locations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entity is provisioned with a default location, and a service call that names none resolves to it. A goods receipt takes its location from the receipt's own branch, so deliveries land where they arrived without being told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single-store entity's calls and responses are unchanged. Once an entity has more than one location, a movement that names none is refused rather than defaulted, because silently drawing from the main store when somebody meant the annex is a quieter version of the bug locations exist to fix.</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the stock is worth and what is running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stock valuation report and a reorder report are served as entity-scoped reads, alongside item summaries and the movement ledger. Both accept a location, which narrows them to that store; without one they report the entity roll-up.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Valuation is read from the maintained value rather than recomputed from the movement history, and the two agree because every movement maintains it. The entity roll-up is what reconciles to the inventory control account; a single location's total does not, and is not meant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Kind, quantity, value, and the running balance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Immutable; corrections are further movements.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item master.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across items.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at the current average.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ledger.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/reports/stock-valuation/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stock is worth.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/reports/stock-reorder/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running out.</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inventory and expense accounts, the period lock and the balance guard. Fixed assets are its responsibility, not this module's.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separately grantable view, manage, issue and adjust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Weighted average is the only valuation method. FIFO, LIFO and standard costing are not implemented.</w:t>
            </w:r>
          </w:p>
          <w:p w:rsidR="00A62A3E" w:rsidRDefault="00000000">
            <w:pPr>
              <w:spacing w:after="20"/>
              <w:ind w:left="86" w:hanging="86"/>
            </w:pPr>
            <w:r>
              <w:rPr>
                <w:sz w:val="16"/>
              </w:rPr>
              <w:t xml:space="preserve">• There is no cycle-count or stock-take workflow: an adjustment is a single signed correction, with no counting sheet, no second counter, and no variance approval.</w:t>
            </w:r>
          </w:p>
          <w:p w:rsidR="00A62A3E" w:rsidRDefault="00000000">
            <w:pPr>
              <w:spacing w:after="20"/>
              <w:ind w:left="86" w:hanging="86"/>
            </w:pPr>
            <w:r>
              <w:rPr>
                <w:sz w:val="16"/>
              </w:rPr>
              <w:t xml:space="preserve">• Reorder indicators are reported on demand; nothing raises a reorder or warns on a schedule.</w:t>
            </w:r>
          </w:p>
          <w:p w:rsidR="00A62A3E" w:rsidRDefault="00000000">
            <w:pPr>
              <w:spacing w:after="20"/>
              <w:ind w:left="86" w:hanging="86"/>
            </w:pPr>
            <w:r>
              <w:rPr>
                <w:sz w:val="16"/>
              </w:rPr>
              <w:t xml:space="preserve">• An adjustment needs its own permission but no approval, so a holder of the key can write off a discrepancy alone.</w:t>
            </w:r>
          </w:p>
          <w:p w:rsidR="00A62A3E" w:rsidRDefault="00000000">
            <w:pPr>
              <w:spacing w:after="20"/>
              <w:ind w:left="86" w:hanging="86"/>
            </w:pPr>
            <w:r>
              <w:rPr>
                <w:sz w:val="16"/>
              </w:rPr>
              <w:t xml:space="preserve">• There is no transfer between locations. Moving stock from one store to another has to be recorded as an issue at the source and a receipt at the destination, which is two documents where one belongs, and the receipt re-prices the stock rather than carrying its cost across.</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24 carries 13 capability entries in MRD v2.13.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Inventory and Stock Ledger Functional Requirements Document v1.1.1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and Stock Ledger Functional Requirements Document v1.1.1</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1.1.1</cp:version>
</cp:coreProperties>
</file>