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1.2</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t>1.2</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t>25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t>8ecda83 plus guide analytics rate limiting (25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t>XVS Module Requirements Document v2.27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vs_notifications,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how support works the request, who may read a conversation, and which dimensionless guide signals platform editors may review. Visibility remains the organising control.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Ticket intake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Filing, editing the editable fields, and the derived number, tenant, branch and source.</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Visibility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Who may list, read, and search - participants, tenant managers, and platform support.</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Conversation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Public replies and internal notes, and the boundary between them.</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Attachments on a ticket or a comment, validated before storage.</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Ownership and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Assignment from live RBAC eligibility, and guarded status transitions.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Accounting and reach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audit trail, the notifications, and the dashboard counters.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t>Guide editorial signals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authenticated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assignment, status changes and the audit trail each sit behind their own key.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File a ticket, read and comment on their own threads.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Participation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ticket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Read, work and comment on the tickets of their own tenant that fall inside the branches their role grants reach.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tickets.ticket.manage,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support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The cross-tenant support console: read and work any tenant's tickets.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tickets.ticket.manage held on the PLATFORM tenant</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Assigner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Set or clear a ticket's owner from the eligible set.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tickets.ticket.assign</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History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Read a ticket's operational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tickets.audit.view</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t>Active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t>Emit a validated guide, walkthrough, or settled no-result-search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t>Active authentication, closed fields, and the guide_analytics throttle scope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t>Platform guide editor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t>Read aggregate guide engagement, search gaps, and walkthrough exits.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Listing resolves through one visibility queryset. Participants - requester and assignee - always see their own threads, whatever branch the ticket carries. A same-tenant holder of the manage key sees that tenant's tickets narrowed to the branches their role grants reach, which is the whole tenant for a school-wide grant and exactly the granted sites otherwise; a ticket filed for the school rather than for one site carries no branch and stays visible to all of them. Platform staff holding manage on the PLATFORM tenant get the one deliberate cross-tenant span, which is what the support console is.</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and narrowing there would take a thread away from the person assigned to work it. Object reads run the same rule and answer 404, not 403, so a hidden ticket is indistinguishable from one that does not exist. Search filters apply after scoping, so a hidden ticket cannot be discovered by guessing its words.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 queue where nothing is owned is a queue nobody works.</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Eligibility is computed in the database rather than by pulling every role into Python, so the list stays correct as roles change without a cache to invalidate. A ticket in ASSIGNED with no assignee is refused by model validation.</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Every service writes an audit row with actor, action, a human summary, and before and after snapshots for updates. Creation, update, assignment, status change, comment, internal note and attachment each have their own action.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trail is read under its own key rather than ticket visibility, so being a participant does not by itself expose the operational history.</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Creation, assignment, status change, comment and attachment each dispatch a notification through the platform's notification service. Recipients are de-duplicated and the actor is excluded from their own event.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Support recipients resolve from the same eligibility rule as assignment, so the people notified and the people assignable cannot diverge.</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In-app and email only; there is no SMS channel.</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Filed.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OPEN. Requester, tenant, branch and source derived from the actor.</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Assigned.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ASSIGNED. Owner set from the eligible set; clearing it releases the ticket.</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Picked 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IN_PROGRESS.</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Resolved.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RESOLVED, with the timestamp recorded. Leaves every personal workload counter.</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Closed, or reopened.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Number allocated from the shared tenant counter as TK-&lt;tenant&gt;&lt;YYMMDD&gt;&lt;n&gt;. Requester and branch must belong to the ticket's tenant.</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/support/tickets/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List with filters, or file a new ticket.</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PATCH /support/tickets/{id}/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Read the thread, or edit its editable fields.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/support/tickets/{id}/assign/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Set or clear the owner. Needs the assign key.</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/support/tickets/{id}/eligible-assignees/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Who may take it, resolved live from RBAC.</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/support/tickets/{id}/transition/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Attach evidence. Validated before storage.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ticket the caller may not see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a ticket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 status move outside the transition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Refused.</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An unknown or malformed context field at creation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Refused, naming the field.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route pattern containing digits, a query string or a fragment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Refused.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An unsupported, empty, oversized or mislabelled attachment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 with a field error.</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Assigning to somebody outside the eligible set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comment id from another ticket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An unknown analytics field, event combination, id, or live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Refused before persistence.</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More than the scoped event limit for one authenticated user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429. No event row is created.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A summary window outside 1 to 365 days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with unguessable names, the authenticated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seed_ticket_permissions registers the keys and grants them to the platform and school roles.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ATTACHMENT CAN NO LONGER NAME ITS OWN TYPE</w:t>
            </w:r>
          </w:p>
          <w:p w14:paraId="7CA37E0A" w14:textId="77777777" w:rsidR="00A62A3E" w:rsidRDefault="00000000">
            <w:pPr>
              <w:spacing w:after="20"/>
              <w:ind w:left="86" w:hanging="86"/>
            </w:pPr>
            <w:r>
              <w:rPr>
                <w:sz w:val="16"/>
              </w:rPr>
              <w:t>• The stored content type was taken from the upload's declaration rather than the file's bytes, and the download view serves that value back with inline disposition for anything marked as an image. Markup declared as an image could therefore render, and run, in the next reader's session. The stored type is now derived from the verified bytes, and an upload whose contents disagree with its extension is refused before it reaches storage.</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15 capability entries in MRD v2.27.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Ticket creation, retrieval, and update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 FR-002</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Support queue and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FR-007</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Search, filters, and pagination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FR-002, FR-007</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Ticket comments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Ticket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FR-004</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Assignee and ownership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Guarded status transitions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FR-006</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Tenant and platform access scoping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Ticket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Ticket notifications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FR-010</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Privacy-safe guide and route context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Strict creation-time context allowlist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Module-registered ticket context vocabularies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Privacy-safe guide engagement and search-gap event intake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FR-011</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Platform guide-editor aggregates, scoped ingestion limits, and 180-day retention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FR-012</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dc:title>XVision M31 Support Tickets Functional Requirements v1.2</dc:title>
  <dc:subject>Support tickets and privacy-safe guide editorial analytics</dc:subject>
</cp:coreProperties>
</file>