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w:t>
            </w:r>
            <w:r>
              <w:rPr>
                <w:color w:val="FFFFFF"/>
                <w:sz w:val="20"/>
                <w:szCs w:val="20"/>
              </w:rPr>
              <w:t xml:space="preserve">CodeX Team        </w:t>
            </w:r>
            <w:r>
              <w:rPr>
                <w:b/>
                <w:bCs/>
                <w:color w:val="DCE6F8"/>
                <w:sz w:val="20"/>
                <w:szCs w:val="20"/>
              </w:rPr>
              <w:t xml:space="preserve">Version:  </w:t>
            </w:r>
            <w:r>
              <w:rPr>
                <w:color w:val="FFFFFF"/>
                <w:sz w:val="20"/>
                <w:szCs w:val="20"/>
              </w:rPr>
              <w:t>2.13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14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Current backend codebase at a60670f (14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408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v2.13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Stock gains its location dimension</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vs_admin_console, vs_user, vs_rbac, vs_audit, vs_config, vs_notifications, vs_import_data, vs_workflow, vs_finance, vs_procurement, vs_payments, vs_exports, vs_todo, vs_tickets, and vs_health.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24</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14</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8</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22</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13</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17</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11</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Add school suspend, reactivate, and recoverable soft-delete operations with access and session effects.</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 xml:space="preserve">Code: </w:t>
            </w:r>
            <w:r>
              <w:rPr>
                <w:color w:val="000000"/>
                <w:sz w:val="15"/>
              </w:rPr>
              <w:t>vs_schools; vs_config; vs_rbac; vs_user</w:t>
            </w:r>
          </w:p>
        </w:tc>
      </w:tr>
    </w:tbl>
    <w:p w14:paraId="277CB719" w14:textId="77777777" w:rsidR="00472341" w:rsidRDefault="00000000">
      <w:pPr>
        <w:spacing w:line="252" w:lineRule="auto"/>
      </w:pPr>
      <w:r>
        <w:rPr>
          <w:color w:val="000000"/>
          <w:sz w:val="17"/>
        </w:rPr>
        <w:t>Onboarding foundations are embedded in school creation, but there is no standalone onboarding tracker or go-live workflow.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Create school and initial branches</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Create school and branch primary administrators</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Provision baseline roles and permissions</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Send administrator invitations</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Apply platform default settings</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Apply package and module setup</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Create branding foundation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Audit school creation operations</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Build an onboarding checklist, progress state, readiness validation, go-live decision, rollback path, and post-launch monitoring.</w:t>
            </w:r>
          </w:p>
          <w:p w14:paraId="38D7D122" w14:textId="77777777" w:rsidR="00472341" w:rsidRDefault="00000000">
            <w:pPr>
              <w:spacing w:after="20"/>
              <w:ind w:left="86" w:hanging="86"/>
            </w:pPr>
            <w:r>
              <w:rPr>
                <w:sz w:val="16"/>
              </w:rPr>
              <w:t>• Seed required finance, procurement, and payout approval templates per school as part of onboarding.</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now gated by a published ladder rather than one that was never created, and concessions and credit notes are gated at or above a configurable threshold. Below it they still post on one person's permission, which is the intended trade for small goodwill.</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suspend, reactivate, and recoverable soft delete. Define session, authentication, and downstream-record behavior.</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Onboarding tracker and seeds</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Track readiness and go-live. The finance, procurement and payout ladders are now published with a tenant's books; what remains is the checklist and the go-live states around them.</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M17-M24</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v2.13 Documentation Delta</w:t>
      </w:r>
    </w:p>
    <w:p w14:paraId="4C4A5E5A" w14:textId="77777777" w:rsidR="00472341" w:rsidRDefault="00000000">
      <w:pPr>
        <w:spacing w:after="100" w:line="240" w:lineRule="auto" w:before="0"/>
      </w:pPr>
      <w:r>
        <w:t>This revision records the stock location dimension. Module numbering and the status model are unchanged; Module 24 gains one capability and its needs-attention item narrows, and the M22-M24 branch-scoping priority gap narrows to procurement documents.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v2.13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Stock locations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Stock was one pool per entity. A school with two campuses held one balance and one average cost per item, so an issue at one campus could draw against stock physically standing at the other and the availability check allowed it, because it was measuring the entity total. A stock location is now a first-class record, entity-scoped with an optional campus, and a balance row holds the quantity and value of each item at each location.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Valuation per location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Changed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Weighted average is held per balance row. An issue is valued at the issuing location's average and a receipt folds its purchase price into that location alone, so one store's prices no longer move another's cost. The item's own totals remain as the roll-up across locations, so entity-level valuation and the inventory-account reconciliation are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Single-store schools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Unaffected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Every entity is provisioned with a default location and a call that names none resolves to it, so a school with one store never has to think about locations. Where an entity has more than one, a movement that names none is refused rather than defaulted, because silently issuing from the wrong store is a quieter version of the bug locations exist to fix.</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Existing history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Migrated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A migration gives each stock-holding entity a MAIN location, opens a balance for every item that carries quantity or value, and stamps every past movement with that location. A school already running two campuses should create its second location and move the opening balances across as visible movements, rather than have a migration guess the split.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Capability entries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Increased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Module 24 gains stock locations and per-location balances, taking the document from 407 to 408.</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Make onboarding operational</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Add checklist and readiness states. The per-tenant approval seeds and role provisioning now run when a tenant's books are created.</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2.8</cp:version>
</cp:coreProperties>
</file>