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2.14</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2.14</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14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Current backend worktree at 4f66802 plus the uncommitted adjustment-gate change (14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410</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v2.14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The adjustment threshold now decides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22</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17</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11</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campus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The finance, procurement and payout ladders are now published with a tenant's books; what remains is the checklist and the go-live states around them.</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procurement documents, approvals and reporting to the correct branch where required. Stock locations are done: a location may belong to a campus, and a goods receipt lands at the receiving campus's store.</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v2.14 Documentation Delta</w:t>
      </w:r>
    </w:p>
    <w:p w14:paraId="4C4A5E5A" w14:textId="77777777" w:rsidR="00472341" w:rsidRDefault="00000000">
      <w:pPr>
        <w:spacing w:after="100" w:line="240" w:lineRule="auto" w:before="0"/>
      </w:pPr>
      <w:r>
        <w:t>This revision records that the adjustment threshold now takes effect. Module numbering and the status model are unchanged; Modules 7 and 20 each gain one capability and the document moves from 408 to 410 entries.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v2.14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Small waivers post again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 concession or credit note was refused at the post endpoint at every amount, so the threshold documented since v2.12 never decided anything and a small goodwill allowance had no route to the ledger at all. Below the threshold it posts directly again; at or above it the ladder is unchanged.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Where the defect sat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Two causes, and neither alone accounts for it. The gate answered on whether a template existed, which is right only while a ladder's first stage is unconditional; and the seeded ladder's first stage was unconditional, so something always applied. The gate now asks whether any stage would actually apply, and the seed carries the threshold on both stages.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Gate and engine resolution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Unified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The direct-post gate and the submission engine resolved templates from two hand-copied cascades. They now share one, which also made the gate honour a template a tenant had switched off and the template code the engine would actually load.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Tenants seeded earlier</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Migrated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Ladder seeding is deliberately non-destructive and never revisits what it published, so a migration moves the threshold onto the first stage of ladders still in the seeded shape and leaves anything an administrator edited alone.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Capability entries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Increased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Module 20 gains the approval requirement on its adjustment reads and Module 7 the shared predicate behind it, taking the document from 408 to 410.</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The per-tenant approval seeds and role provisioning now run when a tenant's books are created.</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2.8</cp:version>
</cp:coreProperties>
</file>