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 xml:space="preserve">Prepared by:  </w:t>
            </w:r>
            <w:r>
              <w:rPr>
                <w:color w:val="FFFFFF"/>
                <w:sz w:val="20"/>
                <w:szCs w:val="20"/>
              </w:rPr>
              <w:t xml:space="preserve">CodeX Team        </w:t>
            </w:r>
            <w:r>
              <w:rPr>
                <w:b/>
                <w:bCs/>
                <w:color w:val="DCE6F8"/>
                <w:sz w:val="20"/>
                <w:szCs w:val="20"/>
              </w:rPr>
              <w:t xml:space="preserve">Version:  </w:t>
            </w:r>
            <w:r>
              <w:rPr>
                <w:color w:val="FFFFFF"/>
                <w:sz w:val="20"/>
                <w:szCs w:val="20"/>
              </w:rPr>
              <w:t>2.15</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2.15</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15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Current backend worktree at c971596 plus the uncommitted vendor-document attachment change (15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413</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7"/>
              </w:rPr>
              <w:t>5. v2.15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The supplier's paper now sits with the bill</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vs_admin_console, vs_user, vs_rbac, vs_audit, vs_config, vs_notifications, vs_import_data, vs_workflow, vs_finance, vs_procurement, vs_payments, vs_exports, vs_todo, vs_tickets, and vs_health.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12</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14</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14</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12</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14</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8</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22</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19</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12</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campus administration. The current backend supports creation, listing, editing, statistics, package setup, primary administrators, and branch lifecycle operations.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Add school suspend, reactivate, and recoverable soft-delete operations with access and session effects.</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Authentication, invitations, account security, sessions, platform staff, and organization-position structures.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Searchable platform and tenant audit evidence with subject trails, compliance rules, and export jobs.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CURRENT DECISION</w:t>
            </w:r>
          </w:p>
          <w:p w14:paraId="21361CAF" w14:textId="77777777" w:rsidR="00472341" w:rsidRDefault="00000000">
            <w:pPr>
              <w:spacing w:after="20"/>
              <w:ind w:left="86" w:hanging="86"/>
            </w:pPr>
            <w:r>
              <w:rPr>
                <w:sz w:val="16"/>
              </w:rPr>
              <w:t>• No material capability gap was identified within this module's stated backend scope.</w:t>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p w14:paraId="7CDC09B0" w14:textId="77777777" w:rsidR="00472341" w:rsidRDefault="00000000">
            <w:pPr>
              <w:spacing w:after="0"/>
            </w:pPr>
            <w:r>
              <w:rPr>
                <w:color w:val="000000"/>
                <w:sz w:val="16"/>
              </w:rPr>
              <w:t>▸  Approval-requirement predicate shared with domain gates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 xml:space="preserve">Code: </w:t>
            </w:r>
            <w:r>
              <w:rPr>
                <w:color w:val="000000"/>
                <w:sz w:val="15"/>
              </w:rPr>
              <w:t>vs_schools; vs_config; vs_rbac; vs_user</w:t>
            </w:r>
          </w:p>
        </w:tc>
      </w:tr>
    </w:tbl>
    <w:p w14:paraId="277CB719" w14:textId="77777777" w:rsidR="00472341" w:rsidRDefault="00000000">
      <w:pPr>
        <w:spacing w:line="252" w:lineRule="auto"/>
      </w:pPr>
      <w:r>
        <w:rPr>
          <w:color w:val="000000"/>
          <w:sz w:val="17"/>
        </w:rPr>
        <w:t>Onboarding foundations are embedded in school creation, but there is no standalone onboarding tracker or go-live workflow.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Create school and initial branches</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Create school and branch primary administrators</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Provision baseline roles and permissions</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Send administrator invitations</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Apply platform default settings</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Apply package and module setup</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Create branding foundation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Audit school creation operations</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Build an onboarding checklist, progress state, readiness validation, go-live decision, rollback path, and post-launch monitoring.</w:t>
            </w:r>
          </w:p>
          <w:p w14:paraId="38D7D122" w14:textId="77777777" w:rsidR="00472341" w:rsidRDefault="00000000">
            <w:pPr>
              <w:spacing w:after="20"/>
              <w:ind w:left="86" w:hanging="86"/>
            </w:pPr>
            <w:r>
              <w:rPr>
                <w:sz w:val="16"/>
              </w:rPr>
              <w:t>• Seed required finance, procurement, and payout approval templates per school as part of onboarding.</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gated by a published ladder at any size. A concession or credit note is gated only at or above the configurable threshold, and that threshold now decides: below it the adjustment posts on one person's permission, which is the intended trade for small goodwill.</w:t>
            </w:r>
          </w:p>
          <w:p w14:paraId="338F07E7" w14:textId="77777777" w:rsidR="00472341" w:rsidRDefault="00000000">
            <w:pPr>
              <w:spacing w:after="20"/>
              <w:ind w:left="86" w:hanging="86"/>
            </w:pPr>
            <w:r>
              <w:rPr>
                <w:sz w:val="16"/>
              </w:rPr>
              <w:t>• The threshold is one figure per tenant across both types, so a concession and a credit note cannot yet be gated at different sizes.</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p w14:paraId="605D1215" w14:textId="77777777" w:rsidR="00472341" w:rsidRDefault="00472341">
            <w:pPr>
              <w:spacing w:after="0"/>
            </w:pPr>
            <w:r>
              <w:t>▸  Supplier invoice attachments</w:t>
            </w:r>
          </w:p>
          <w:p w14:paraId="605D1215" w14:textId="77777777" w:rsidR="00472341" w:rsidRDefault="00472341">
            <w:pPr>
              <w:spacing w:after="0"/>
            </w:pPr>
            <w:r>
              <w:t>▸  Vendor payment receipt attachments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campus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and privacy-safe product context for guide-to-support handoff.</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suspend, reactivate, and recoverable soft delete. Define session, authentication, and downstream-record behavior.</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Onboarding tracker and seeds</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Track readiness and go-live. The finance, procurement and payout ladders are now published with a tenant's books; what remains is the checklist and the go-live states around them.</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M17-M24</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Scope procurement documents, approvals and reporting to the correct branch where required. Stock locations are done: a location may belong to a campus, and a goods receipt lands at the receiving campus's store.</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v2.15 Documentation Delta</w:t>
      </w:r>
    </w:p>
    <w:p w14:paraId="4C4A5E5A" w14:textId="77777777" w:rsidR="00472341" w:rsidRDefault="00000000">
      <w:pPr>
        <w:spacing w:after="100" w:line="240" w:lineRule="auto" w:before="0"/>
      </w:pPr>
      <w:r>
        <w:t>This revision records that a supplier's own paperwork can now be kept with the document it belongs to. Module numbering and the status model are unchanged; Module 23 gains two capabilities, a stale Module 31 count is corrected, and the document moves from 410 to 413 entries.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r>
              <w:t>v2.15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 recurring charge left no paper trail</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 bill captured without a purchase order recorded the supplier only as a reference typed into a field. Nothing held their actual invoice, and nothing held the receipt they issued after payment, so neither an auditor nor the person who paid could follow the entry back to its source. Both documents now carry their own attachments.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Evidence is accepted after posting</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Decided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The formal invoice usually follows the booked charge and a receipt always follows the payment, so refusing an upload once the document is posted would reject exactly the paperwork worth keeping. No lifecycle state blocks it.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Filing paper is its own authority</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Separated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Uploading uses a new attach permission rather than the document's update verb. Update is refused on a posted document, and rewriting a bill's amounts is not the same authority as filing its 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Upload checking was three implementations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Unified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The vendor portal checked file signatures, support tickets checked extension and size, and the expense-claim receipt endpoint checked nothing, so an oversized or unsupported receipt returned a server error. All now use one checker, which each caller configures with its own size ceiling.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Module 31's index count was stale</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Reconciled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Its grid has carried twelve capabilities since v2.11, when two were added and the count was raised by one. Every other module reconciles; this one now does too, taking the document to 413 entries.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 ticket attachment could name its own type</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Corrected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The stored content type came from the upload's declaration rather than its bytes, and the download view serves that value back inline for anything marked as an image. Markup declared as an image could therefore run in the next reader's session. The stored type is now derived from the file itself.</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Make onboarding operational</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Add checklist and readiness states. The per-tenant approval seeds and role provisioning now run when a tenant's books are created.</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vendor bills and vendor payments somewhere to keep the counterparty's paper. A recurring charge captured without a purchase order previously left no trail beyond a reference string. Attachments are accepted after posting, because the supplier's invoice usually follows the booked charge and a receipt always follows the payment, and uploading is a separate permission from editing the document's amounts. The three separate upload checks across the platform became one, which also closed two defects: an unsupported expense-claim receipt returned a server error rather than a validation message, and a ticket attachment's stored content type was taken from the uploader's declaration rather than its bytes, so markup declared as an image was served back inline. Module 23 gains two capability entries, and Module 31's stale index count is corrected from eleven to twelve.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stock its location dimension. Stock had been one pool per entity, so a school with two campuses held one balance and one average cost per item and an issue at one campus could draw against stock standing at the other, because the availability check measured the entity total. A stock location is now a first-class record with an optional campus,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campus's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XVS Module Requirements Document v2.8</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v2.8</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2026-08-11T12:00:00Z</dcterms:modified>
  <cp:version>2.8</cp:version>
</cp:coreProperties>
</file>