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2.19</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2.19</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18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Backend main at ff94c26 (18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439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v2.19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rPr>
                <w:rFonts w:ascii="Aptos Narrow" w:hAnsi="Aptos Narrow"/>
                <w:b w:val="0"/>
                <w:color w:val="000000"/>
                <w:sz w:val="17"/>
              </w:rPr>
              <w:t>A non-blocking audit write, two newly audited school writes, and three Module 1 capabilities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15</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20</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19</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The onboarding tracker and the go-live gate, built as a module of its own. A school that is not yet live signs in, works a checklist, asks to be activated and is activated by platform staff; a school that abandons the process is warned, expires, and can be put back by hand.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campus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procurement documents, approvals and reporting to the correct branch where required. Stock locations are done: a location may belong to a campus, and a goods receipt lands at the receiving campus's store.</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v2.19 Documentation Delta</w:t>
      </w:r>
    </w:p>
    <w:p w14:paraId="4C4A5E5A" w14:textId="77777777" w:rsidR="00472341" w:rsidRDefault="00000000">
      <w:pPr>
        <w:spacing w:after="100" w:line="240" w:lineRule="auto" w:before="0"/>
      </w:pPr>
      <w:r>
        <w:t>This revision records that an audit failure can no longer take down the business change it was describing, that school update and configuration reset are audited at last, and that Module 1 has been running three capabilities this document did not list. Module numbering, the status model and every module's backend and integration state are unchanged. Module 1 moves from 14 capability entries to 17, and the document moves from 436 to 439 entries.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v2.19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audit row failing could destroy the change it described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emit_audit_event promised in its own docstring never to block business logic and caught its exceptions accordingly, but its INSERT ran inside the caller's transaction with no savepoint. A database error there marks the whole enclosing transaction for rollback, so the caller carried on believing all was well and its own legitimate write was refused at commit. That applied platform-wide: every school and branch update, every school creation and every onboarding effect. The writes now run in their own atomic block, so a failure rolls back to a savepoint and stops at the audit row. Proved with a real SQL error rather than a mocked Python one, which would have passed either way.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Two school writes left no record of who made them</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update and school configuration reset each read an actor and never used it. A school could move its slug, which is the host every one of its users signs in at, with no record of who moved it or what it was before, and a super administrator could delete a school's branding with no record at all. Both now emit before and after evidence. A slug move carries WARNING severity and a written summary naming both addresses, because the event explorer searches the summary rather than the JSON snapshots. The "system" default on the actor was removed rather than kept: the actor column is a foreign key, a string raises inside a helper that swallows its own failures, and a defaulted actor therefore produced no event at all.</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was running three capabilities this document did not list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main-branch handover and the guarantee that its holder stays in service, the governance and go-live freeze of a school's sign-in address, and the module's own school and branch audit evidence were all in the code and none of them were here. M01 FRD v1.7 recorded the first two as having no MRD entry; the third had never been traced at all. Module 1 moves from 14 capability entries to 17 and the document from 436 to 439. Module 1 remains Backend Partial and Integration Partial: school lifecycle control is what holds it there and is unchanged.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v2.17</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v2.17</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2.17</cp:version>
</cp:coreProperties>
</file>