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CodeX Team        Version:  2.20</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 xml:space="preserve">2.20</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 xml:space="preserve">20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 xml:space="preserve">Backend main at b0ae798 (20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t xml:space="preserve">444</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after="0" w:before="0" w:line="240" w:lineRule="auto"/>
              <w:jc w:val="left"/>
            </w:pPr>
            <w:r>
              <w:rPr>
                <w:rFonts w:ascii="Aptos Narrow" w:hAnsi="Aptos Narrow"/>
                <w:b/>
                <w:color w:val="355B9D"/>
                <w:sz w:val="17"/>
              </w:rPr>
              <w:t xml:space="preserve">5. v2.20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r>
              <w:rPr>
                <w:rFonts w:ascii="Aptos Narrow" w:hAnsi="Aptos Narrow"/>
                <w:b w:val="0"/>
                <w:color w:val="000000"/>
                <w:sz w:val="17"/>
              </w:rPr>
              <w:t xml:space="preserve">Two privilege escalations closed, the persona column removed, and the audit trail made filterable by tenant</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p w14:paraId="7F9E4181" w14:textId="77777777" w:rsidR="00472341" w:rsidRDefault="00000000">
            <w:pPr>
              <w:spacing w:after="20"/>
              <w:ind w:left="86" w:hanging="86"/>
            </w:pPr>
            <w:r>
              <w:rPr>
                <w:sz w:val="16"/>
              </w:rPr>
              <w:t>• The Django admin site is not installed. Administration is done through the console over the API, and the test suite runs on PostgreSQL like every other environment.</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vs_onboarding, vs_admin_console, vs_user, vs_rbac, vs_audit, vs_config, vs_notifications, vs_import_data, vs_workflow, vs_finance, vs_procurement, vs_payments, vs_exports, vs_todo, vs_tickets, and vs_health. The schools product carries vs_schools and vs_onboarding under apps/schools/.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17</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 xml:space="preserve">15</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 xml:space="preserve">17</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 xml:space="preserve">13</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20</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 xml:space="preserve">20</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24</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14</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19</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13</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 The main-branch designation is handed over rather than stranded, a school's sign-in address is governed and frozen once the school has been live, and school and branch writes emit audit evidence.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School set of books provisioned at creation</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Mandatory main branch at school creation</w:t>
            </w:r>
          </w:p>
        </w:tc>
      </w:tr>
      <w:tr w:rsidR="00472341" w14:paraId="08C2C455" w14:textId="77777777">
        <w:trPr>
          <w:cantSplit/>
          <w:jc w:val="center"/>
        </w:trPr>
        <w:tc>
          <w:tcPr>
            <w:tcW w:w="5126" w:type="dxa"/>
            <w:shd w:val="clear" w:color="auto" w:fill="F2F5FA"/>
            <w:tcMar>
              <w:top w:w="70" w:type="dxa"/>
              <w:left w:w="90" w:type="dxa"/>
              <w:bottom w:w="70" w:type="dxa"/>
              <w:right w:w="90" w:type="dxa"/>
            </w:tcMar>
            <w:vAlign w:val="center"/>
          </w:tcPr>
          <w:p w14:paraId="19C65549" w14:textId="77777777" w:rsidR="00472341" w:rsidRDefault="00000000">
            <w:pPr>
              <w:spacing w:after="0"/>
            </w:pPr>
            <w:r>
              <w:rPr>
                <w:color w:val="000000"/>
                <w:sz w:val="16"/>
              </w:rPr>
              <w:t>▸  Main-branch handover and in-service guarantee</w:t>
            </w:r>
          </w:p>
        </w:tc>
        <w:tc>
          <w:tcPr>
            <w:tcW w:w="5126" w:type="dxa"/>
            <w:gridSpan w:val="2"/>
            <w:shd w:val="clear" w:color="auto" w:fill="F2F5FA"/>
            <w:tcMar>
              <w:top w:w="70" w:type="dxa"/>
              <w:left w:w="90" w:type="dxa"/>
              <w:bottom w:w="70" w:type="dxa"/>
              <w:right w:w="90" w:type="dxa"/>
            </w:tcMar>
            <w:vAlign w:val="center"/>
          </w:tcPr>
          <w:p w14:paraId="68C28059" w14:textId="77777777" w:rsidR="00472341" w:rsidRDefault="00000000">
            <w:pPr>
              <w:spacing w:after="0"/>
            </w:pPr>
            <w:r>
              <w:rPr>
                <w:color w:val="000000"/>
                <w:sz w:val="16"/>
              </w:rPr>
              <w:t>▸  School sign-in address governance and go-live freeze</w:t>
            </w:r>
          </w:p>
          <w:p w14:paraId="68C28059" w14:textId="77777777" w:rsidR="00472341" w:rsidRDefault="00000000">
            <w:pPr>
              <w:spacing w:after="0"/>
            </w:pPr>
            <w:r>
              <w:rPr>
                <w:color w:val="000000"/>
                <w:sz w:val="16"/>
              </w:rPr>
              <w:t>▸  School and branch audit evidence</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School lifecycle is still incomplete. An abandoned onboarding now suspends the school and platform staff can return it to onboarding, but there is no operator suspend, reactivate or recoverable soft delete for commercial reasons, and no defined session effect.</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 xml:space="preserve">Authentication, invitations, account security, sessions, platform staff, and organization-position structures. Which side of the platform boundary a person sits on is read from their tenant; the User.user_type persona column that used to shadow it is gone, and a new account now lands in the acting user's own tenant rather than in one the request body names.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411902C8" w14:textId="77777777">
        <w:trPr>
          <w:cantSplit/>
          <w:jc w:val="center"/>
        </w:trPr>
        <w:tc>
          <w:tcPr>
            <w:tcW w:w="5126" w:type="dxa"/>
            <w:shd w:val="clear" w:color="auto" w:fill="F2F5FA"/>
            <w:tcMar>
              <w:top w:w="70" w:type="dxa"/>
              <w:left w:w="90" w:type="dxa"/>
              <w:bottom w:w="70" w:type="dxa"/>
              <w:right w:w="90" w:type="dxa"/>
            </w:tcMar>
            <w:vAlign w:val="center"/>
          </w:tcPr>
          <w:p w14:paraId="030135CF" w14:textId="77777777" w:rsidR="00472341" w:rsidRDefault="00000000">
            <w:pPr>
              <w:spacing w:after="0"/>
            </w:pPr>
            <w:r>
              <w:rPr>
                <w:color w:val="000000"/>
                <w:sz w:val="16"/>
              </w:rPr>
              <w:t xml:space="preserve">▸  Tenant boundary enforced on account creation</w:t>
            </w:r>
          </w:p>
        </w:tc>
        <w:tc>
          <w:tcPr>
            <w:tcW w:w="5126" w:type="dxa"/>
            <w:gridSpan w:val="2"/>
            <w:shd w:val="clear" w:color="auto" w:fill="F2F5FA"/>
            <w:tcMar>
              <w:top w:w="70" w:type="dxa"/>
              <w:left w:w="90" w:type="dxa"/>
              <w:bottom w:w="70" w:type="dxa"/>
              <w:right w:w="90" w:type="dxa"/>
            </w:tcMar>
            <w:vAlign w:val="center"/>
          </w:tcPr>
          <w:p w14:paraId="6079F0D5" w14:textId="77777777" w:rsidR="00472341" w:rsidRDefault="00000000">
            <w:pPr>
              <w:spacing w:after="0"/>
            </w:pPr>
            <w:r>
              <w:rPr>
                <w:color w:val="000000"/>
                <w:sz w:val="16"/>
              </w:rPr>
              <w:t xml:space="preserve"/>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 xml:space="preserve">Two-layer platform and school authorization with reusable permission definitions, roles, templates, assignments, and controlled overrides. Every permission and permission group now declares whether it is a platform key or a tenant key, and a platform key granted inside a tenant is refused on the role path and the override path alike.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p w14:paraId="06A753C5" w14:textId="77777777" w:rsidR="00472341" w:rsidRDefault="00000000">
            <w:pPr>
              <w:spacing w:after="0"/>
            </w:pPr>
            <w:r>
              <w:rPr>
                <w:color w:val="000000"/>
                <w:sz w:val="16"/>
              </w:rPr>
              <w:t>▸  Pending-tenant surface gate</w:t>
            </w:r>
          </w:p>
        </w:tc>
      </w:tr>
      <w:tr w:rsidR="00472341" w14:paraId="5C456C2E" w14:textId="77777777">
        <w:trPr>
          <w:cantSplit/>
          <w:jc w:val="center"/>
        </w:trPr>
        <w:tc>
          <w:tcPr>
            <w:tcW w:w="5126" w:type="dxa"/>
            <w:shd w:val="clear" w:color="auto" w:fill="F2F5FA"/>
            <w:tcMar>
              <w:top w:w="70" w:type="dxa"/>
              <w:left w:w="90" w:type="dxa"/>
              <w:bottom w:w="70" w:type="dxa"/>
              <w:right w:w="90" w:type="dxa"/>
            </w:tcMar>
            <w:vAlign w:val="center"/>
          </w:tcPr>
          <w:p w14:paraId="6CA164DD" w14:textId="77777777" w:rsidR="00472341" w:rsidRDefault="00000000">
            <w:pPr>
              <w:spacing w:after="0"/>
            </w:pPr>
            <w:r>
              <w:rPr>
                <w:color w:val="000000"/>
                <w:sz w:val="16"/>
              </w:rPr>
              <w:t xml:space="preserve">▸  Platform and tenant permission scope, enforced at grant</w:t>
            </w:r>
          </w:p>
        </w:tc>
        <w:tc>
          <w:tcPr>
            <w:tcW w:w="5126" w:type="dxa"/>
            <w:gridSpan w:val="2"/>
            <w:shd w:val="clear" w:color="auto" w:fill="F2F5FA"/>
            <w:tcMar>
              <w:top w:w="70" w:type="dxa"/>
              <w:left w:w="90" w:type="dxa"/>
              <w:bottom w:w="70" w:type="dxa"/>
              <w:right w:w="90" w:type="dxa"/>
            </w:tcMar>
            <w:vAlign w:val="center"/>
          </w:tcPr>
          <w:p w14:paraId="06A753C5" w14:textId="77777777" w:rsidR="00472341" w:rsidRDefault="00000000">
            <w:pPr>
              <w:spacing w:after="0"/>
            </w:pPr>
            <w:r>
              <w:rPr>
                <w:color w:val="000000"/>
                <w:sz w:val="16"/>
              </w:rPr>
              <w:t xml:space="preserve">▸  School permission group catalogue with declared branch reach</w:t>
            </w:r>
          </w:p>
          <w:p w14:paraId="06A753C5" w14:textId="77777777" w:rsidR="00472341" w:rsidRDefault="00000000">
            <w:pPr>
              <w:spacing w:after="0"/>
            </w:pPr>
            <w:r>
              <w:rPr>
                <w:color w:val="000000"/>
                <w:sz w:val="16"/>
              </w:rPr>
              <w:t xml:space="preserve"/>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 xml:space="preserve">CURRENT DECISION • No material capability gap was identified within this module's stated backend scope. • A privilege escalation that ran through this module is closed: until 19 August 2026 nothing stopped a school role or a per-user override carrying a platform key, so a school administrator could grant themselves cross-tenant reach. The boundary is now a declared scope on the permission rather than a convention about its name.</w:t>
            </w:r>
          </w:p>
          <w:p w14:paraId="27F916CD" w14:textId="77777777" w:rsidR="00472341" w:rsidRDefault="00000000">
            <w:pPr>
              <w:spacing w:after="20"/>
              <w:ind w:left="86" w:hanging="86"/>
            </w:pPr>
            <w:r>
              <w:rPr>
                <w:sz w:val="16"/>
              </w:rPr>
              <w:t xml:space="preserve"/>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 xml:space="preserve">Searchable platform and tenant audit evidence with subject trails, compliance rules, and export jobs, narrowable to one customer. The shared logging service writes inside its own savepoint, so a failed audit row can never mark a caller's transaction for rollback and take the business change down with 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FC44047" w14:textId="77777777">
        <w:trPr>
          <w:cantSplit/>
          <w:jc w:val="center"/>
        </w:trPr>
        <w:tc>
          <w:tcPr>
            <w:tcW w:w="5126" w:type="dxa"/>
            <w:shd w:val="clear" w:color="auto" w:fill="FFFFFF"/>
            <w:tcMar>
              <w:top w:w="70" w:type="dxa"/>
              <w:left w:w="90" w:type="dxa"/>
              <w:bottom w:w="70" w:type="dxa"/>
              <w:right w:w="90" w:type="dxa"/>
            </w:tcMar>
            <w:vAlign w:val="center"/>
          </w:tcPr>
          <w:p w14:paraId="17C15B49" w14:textId="77777777" w:rsidR="00472341" w:rsidRDefault="00000000">
            <w:pPr>
              <w:spacing w:after="0"/>
            </w:pPr>
            <w:r>
              <w:rPr>
                <w:color w:val="000000"/>
                <w:sz w:val="16"/>
              </w:rPr>
              <w:t xml:space="preserve">▸  Tenant-scoped event filtering and tenant roster</w:t>
            </w:r>
          </w:p>
        </w:tc>
        <w:tc>
          <w:tcPr>
            <w:tcW w:w="5126" w:type="dxa"/>
            <w:gridSpan w:val="2"/>
            <w:shd w:val="clear" w:color="auto" w:fill="FFFFFF"/>
            <w:tcMar>
              <w:top w:w="70" w:type="dxa"/>
              <w:left w:w="90" w:type="dxa"/>
              <w:bottom w:w="70" w:type="dxa"/>
              <w:right w:w="90" w:type="dxa"/>
            </w:tcMar>
            <w:vAlign w:val="center"/>
          </w:tcPr>
          <w:p w14:paraId="6FD7AAE7" w14:textId="77777777" w:rsidR="00472341" w:rsidRDefault="00000000">
            <w:pPr>
              <w:spacing w:after="0"/>
            </w:pPr>
            <w:r>
              <w:rPr>
                <w:color w:val="000000"/>
                <w:sz w:val="16"/>
              </w:rPr>
              <w:t xml:space="preserve"/>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 xml:space="preserve">CURRENT DECISION • No material capability gap was identified within this module's stated backend scope. • The trail can now be narrowed to one customer. Every writing module records the tenant, by passing it or by inheriting the tenant the request asserted, and events that belong to no customer stay reachable rather than hidden. The tenant roster on the filter drawer is served only to platform callers, so it cannot become a customer list.</w:t>
            </w:r>
          </w:p>
          <w:p w14:paraId="21361CAF" w14:textId="77777777" w:rsidR="00472341" w:rsidRDefault="00000000">
            <w:pPr>
              <w:spacing w:after="20"/>
              <w:ind w:left="86" w:hanging="86"/>
            </w:pPr>
            <w:r>
              <w:rPr>
                <w:sz w:val="16"/>
              </w:rPr>
              <w:t xml:space="preserve"/>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p w14:paraId="7CDC09B0" w14:textId="77777777" w:rsidR="00472341" w:rsidRDefault="00000000">
            <w:pPr>
              <w:spacing w:after="0"/>
            </w:pPr>
            <w:r>
              <w:rPr>
                <w:color w:val="000000"/>
                <w:sz w:val="16"/>
              </w:rPr>
              <w:t>▸  Approval-requirement predicate shared with domain gates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Console-managed email HTML</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Standard layout with per-template override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Live template preview with sample data</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Template creation from the console</w:t>
            </w:r>
          </w:p>
        </w:tc>
      </w:tr>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Unread-first inbox ordering</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Server-side notification search</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p w14:paraId="45C638E1" w14:textId="77777777" w:rsidR="00472341" w:rsidRDefault="00000000">
            <w:pPr>
              <w:spacing w:after="20"/>
              <w:ind w:left="86" w:hanging="86"/>
            </w:pPr>
            <w:r>
              <w:rPr>
                <w:sz w:val="16"/>
              </w:rPr>
              <w:t>• A template whose HTML is edited by hand stops inheriting later design changes until it is reset to the standard layout.</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Backend: Complete</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Code: schools/vs_onboarding; vs_tenants; vs_rbac; vs_notifications; vs_audit</w:t>
            </w:r>
          </w:p>
        </w:tc>
      </w:tr>
    </w:tbl>
    <w:p w14:paraId="277CB719" w14:textId="77777777" w:rsidR="00472341" w:rsidRDefault="00000000">
      <w:pPr>
        <w:spacing w:line="252" w:lineRule="auto"/>
      </w:pPr>
      <w:r>
        <w:rPr>
          <w:color w:val="000000"/>
          <w:sz w:val="17"/>
        </w:rPr>
        <w:t xml:space="preserve">The onboarding tracker and the go-live gate, built as a module of its own. A school that is not yet live signs in, works a checklist, asks to be activated and is activated by platform staff; a school that abandons the process is warned, expires, and can be put back by hand. Approving, rejecting and reinstating are reserved to the platform tenant by a check on the caller, so a school that grants itself the key still cannot take itself live.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Onboarding checklist and task catalogue</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Machine-checked task completion</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Readiness evaluation from a single authority</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Go-live request and review workflow</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School activation</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Activation failure rollback and correlation reference</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access for a school that is not yet live</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Per-view pending-tenant surface allowlist</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Control room state, counts and blockers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Go-live request history and pagination</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Abandoned-onboarding expiry sweep</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Expiry warning to the school</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Stale-onboarding report for platform operators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Manual reinstatement of a suspended school</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Go-live history retention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audit events</w:t>
            </w:r>
          </w:p>
        </w:tc>
      </w:tr>
      <w:tr w:rsidR="00472341" w14:paraId="1D1F7B76" w14:textId="77777777">
        <w:trPr>
          <w:cantSplit/>
          <w:jc w:val="center"/>
        </w:trPr>
        <w:tc>
          <w:tcPr>
            <w:tcW w:w="5126" w:type="dxa"/>
            <w:shd w:val="clear" w:color="auto" w:fill="FFFFFF"/>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notification events</w:t>
            </w:r>
          </w:p>
        </w:tc>
        <w:tc>
          <w:tcPr>
            <w:tcW w:w="5126" w:type="dxa"/>
            <w:gridSpan w:val="2"/>
            <w:shd w:val="clear" w:color="auto" w:fill="FFFFFF"/>
            <w:tcMar>
              <w:top w:w="70" w:type="dxa"/>
              <w:left w:w="90" w:type="dxa"/>
              <w:bottom w:w="70" w:type="dxa"/>
              <w:right w:w="90" w:type="dxa"/>
            </w:tcMar>
            <w:vAlign w:val="center"/>
          </w:tcPr>
          <w:p w14:paraId="0111A625" w14:textId="77777777" w:rsidR="00472341" w:rsidRDefault="00000000">
            <w:pPr>
              <w:spacing w:after="0"/>
            </w:pPr>
            <w:r>
              <w:rPr>
                <w:color w:val="000000"/>
                <w:sz w:val="16"/>
              </w:rPr>
              <w:t>▸  Onboarding permission keys and role defaults</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Onboarding context on a support ticket</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xml:space="preserve">▸  Platform-reserved go-live decision</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No academic structure module exists, so one required checklist step has no backend to check against and completes on the school's word. It is the single thing that stops a school reaching readiness unaided.</w:t>
            </w:r>
          </w:p>
          <w:p w14:paraId="38D7D122" w14:textId="77777777" w:rsidR="00472341" w:rsidRDefault="00000000">
            <w:pPr>
              <w:spacing w:after="20"/>
              <w:ind w:left="86" w:hanging="86"/>
            </w:pPr>
            <w:r>
              <w:rPr>
                <w:sz w:val="16"/>
              </w:rPr>
              <w:t>• The finance abstraction layer does not exist, so this module speaks to finance in tenant and entity terms only.</w:t>
            </w:r>
          </w:p>
          <w:p w14:paraId="38D7D122" w14:textId="77777777" w:rsidR="00472341" w:rsidRDefault="00000000">
            <w:pPr>
              <w:spacing w:after="20"/>
              <w:ind w:left="86" w:hanging="86"/>
            </w:pPr>
            <w:r>
              <w:rPr>
                <w:sz w:val="16"/>
              </w:rPr>
              <w:t>• Notification templates are a deploy precondition: where one is missing, dispatch logs a warning and skips the channel, so a message never arrives and nothing fails.</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published when a tenant's books are created and never auto-skip, so the gate over the highest-risk cash-out path is on from onboarding rather than from a remembered command.</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p w14:paraId="513F1F56" w14:textId="77777777" w:rsidR="00472341" w:rsidRDefault="00000000">
            <w:pPr>
              <w:spacing w:after="0"/>
            </w:pPr>
            <w:r>
              <w:rPr>
                <w:color w:val="000000"/>
                <w:sz w:val="16"/>
              </w:rPr>
              <w:t>▸  Registered close checks from dependent apps</w:t>
            </w:r>
          </w:p>
          <w:p w14:paraId="513F1F56" w14:textId="77777777" w:rsidR="00472341" w:rsidRDefault="00000000">
            <w:pPr>
              <w:spacing w:after="0"/>
            </w:pPr>
            <w:r>
              <w:rPr>
                <w:color w:val="000000"/>
                <w:sz w:val="16"/>
              </w:rPr>
              <w:t>▸  One-call books provisioning service</w:t>
            </w:r>
          </w:p>
          <w:p w14:paraId="513F1F56" w14:textId="77777777" w:rsidR="00472341" w:rsidRDefault="00000000">
            <w:pPr>
              <w:spacing w:after="0"/>
            </w:pPr>
            <w:r>
              <w:rPr>
                <w:color w:val="000000"/>
                <w:sz w:val="16"/>
              </w:rPr>
              <w:t>▸  One primary set of books per tenant</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A period close now runs the payables checks a dependent app registers, so it can no longer seal a period over an unreconciled AP position while reporting success.</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p w14:paraId="6F00AAE0" w14:textId="77777777" w:rsidR="00472341" w:rsidRDefault="00000000">
            <w:pPr>
              <w:spacing w:after="0"/>
            </w:pPr>
            <w:r>
              <w:rPr>
                <w:color w:val="000000"/>
                <w:sz w:val="16"/>
              </w:rPr>
              <w:t>▸  Threshold-gated adjustment approval</w:t>
            </w:r>
          </w:p>
          <w:p w14:paraId="6F00AAE0" w14:textId="77777777" w:rsidR="00472341" w:rsidRDefault="00000000">
            <w:pPr>
              <w:spacing w:after="0"/>
            </w:pPr>
            <w:r>
              <w:rPr>
                <w:color w:val="000000"/>
                <w:sz w:val="16"/>
              </w:rPr>
              <w:t>▸  Approval requirement exposed on adjustment reads</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Refunds and write-offs are gated by a published ladder at any size. A concession or credit note is gated only at or above the configurable threshold, and that threshold now decides: below it the adjustment posts on one person's permission, which is the intended trade for small goodwill.</w:t>
            </w:r>
          </w:p>
          <w:p w14:paraId="338F07E7" w14:textId="77777777" w:rsidR="00472341" w:rsidRDefault="00000000">
            <w:pPr>
              <w:spacing w:after="20"/>
              <w:ind w:left="86" w:hanging="86"/>
            </w:pPr>
            <w:r>
              <w:rPr>
                <w:sz w:val="16"/>
              </w:rPr>
              <w:t>• The threshold is one figure per tenant across both types, so a concession and a credit note cannot yet be gated at different sizes.</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058D01C" w14:textId="77777777" w:rsidR="00472341" w:rsidRDefault="00000000">
            <w:pPr>
              <w:keepNext/>
              <w:spacing w:after="40"/>
            </w:pPr>
            <w:r>
              <w:rPr>
                <w:b/>
                <w:color w:val="2E5495"/>
                <w:sz w:val="17"/>
              </w:rPr>
              <w:t>CURRENT DECISION</w:t>
            </w:r>
          </w:p>
          <w:p w14:paraId="5A349052" w14:textId="77777777" w:rsidR="00472341" w:rsidRDefault="00000000">
            <w:pPr>
              <w:spacing w:after="20"/>
              <w:ind w:left="86" w:hanging="86"/>
            </w:pPr>
            <w:r>
              <w:rPr>
                <w:sz w:val="16"/>
              </w:rPr>
              <w:t>• Vendor prepayment accounting is complete: a payment debits accounts payable only for what it settles, the remainder is held as a vendor advance asset, and applying it to a later bill reclassifies it. No material capability gap remains within this module's stated backend scope.</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and are now published when a tenant's books are created rather than by a command somebody has to remember.</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p w14:paraId="605D1215" w14:textId="77777777" w:rsidR="00472341" w:rsidRDefault="00472341">
            <w:pPr>
              <w:spacing w:after="0"/>
            </w:pPr>
            <w:r>
              <w:t>▸  Supplier invoice attachments</w:t>
            </w:r>
          </w:p>
          <w:p w14:paraId="605D1215" w14:textId="77777777" w:rsidR="00472341" w:rsidRDefault="00472341">
            <w:pPr>
              <w:spacing w:after="0"/>
            </w:pPr>
            <w:r>
              <w:t>▸  Vendor payment receipt attachments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Bills with no purchase order are refused by default: nothing three-way matches them, so approval would be their only control. The setting remains available for an entity that genuinely bills without orders.</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p w14:paraId="6774FE06" w14:textId="77777777" w:rsidR="00472341" w:rsidRDefault="00000000">
            <w:pPr>
              <w:spacing w:after="0"/>
            </w:pPr>
            <w:r>
              <w:rPr>
                <w:color w:val="000000"/>
                <w:sz w:val="16"/>
              </w:rPr>
              <w:t>▸  Stock locations and per-location balances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Stock is now held per location rather than as one pool per entity, so a campus can no longer issue against stock standing at another and each store carries its own average cost. A school with one store is unaffected: the single location is created with its books and never has to be named.</w:t>
            </w:r>
          </w:p>
          <w:p w14:paraId="2B1BA648" w14:textId="77777777" w:rsidR="00472341" w:rsidRDefault="00000000">
            <w:pPr>
              <w:spacing w:after="20"/>
              <w:ind w:left="86" w:hanging="86"/>
            </w:pPr>
            <w:r>
              <w:rPr>
                <w:sz w:val="16"/>
              </w:rPr>
              <w:t>• History predating the change sits at each entity's default location, and there is no transfer document, so moving stock between stores has to be recorded as an issue and a receipt.</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t>Tenant-aware support queue with comments, files, assignments, controlled status changes, notifications, audit, and privacy-safe product context for guide-to-support handoff.</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pPr/>
            <w:r>
              <w:t>▸ Privacy-safe guide and route context</w:t>
            </w:r>
          </w:p>
        </w:tc>
        <w:tc>
          <w:tcPr>
            <w:tcW w:w="5126" w:type="dxa"/>
            <w:gridSpan w:val="2"/>
            <w:shd w:val="clear" w:color="auto" w:fill="FFFFFF"/>
            <w:tcMar>
              <w:top w:w="70" w:type="dxa"/>
              <w:left w:w="90" w:type="dxa"/>
              <w:bottom w:w="70" w:type="dxa"/>
              <w:right w:w="90" w:type="dxa"/>
            </w:tcMar>
            <w:vAlign w:val="center"/>
          </w:tcPr>
          <w:p>
            <w:pPr/>
            <w:r>
              <w:t>▸ Strict creation-time context allowlist</w:t>
            </w:r>
          </w:p>
          <w:p>
            <w:pPr/>
            <w:r>
              <w:t>▸  Module-registered ticket context vocabularies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operator suspend, reactivate and recoverable soft delete, and define session, authentication and downstream-record behaviour. An abandoned onboarding now suspends a school and platform staff can return it, so what is missing is the commercial lifecycle rather than all of it.</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Academic structure behind onboarding</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The onboarding checklist, readiness, go-live gate and expiry window are built. One required step has no backend to check against, so a school completes it on its word; building Module 13 is what closes it.</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M13</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procurement documents, approvals and reporting to the correct branch where required. Stock locations are done: a location may belong to a campus, and a goods receipt lands at the receiving campus's store.</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 xml:space="preserve">5. v2.20 Documentation Delta</w:t>
      </w:r>
    </w:p>
    <w:p w14:paraId="4C4A5E5A" w14:textId="77777777" w:rsidR="00472341" w:rsidRDefault="00000000">
      <w:pPr>
        <w:spacing w:after="100" w:line="240" w:lineRule="auto" w:before="0"/>
      </w:pPr>
      <w:r>
        <w:t xml:space="preserve">This revision records two live privilege escalations as closed, the removal of the User.user_type persona column that both of them leaned on, and an audit trail that can at last be narrowed to one customer. Both escalations had the same root: a boundary held by a naming convention rather than by a checked fact, so anybody who could mint a role could cross it. Neither was listed as a priority gap here, because neither was known; they were found by asking what actually enforced the rules this document had been recording as enforced. Module numbering, the status model and every module's backend and integration state are unchanged, and no priority gap opens or closes. Module 3 moves from 14 capability entries to 15, Module 4 from 15 to 17, Module 5 from 12 to 13 and Module 9 from 19 to 20, taking the document from 439 to 444 entries.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 xml:space="preserve">v2.20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pPr>
              <w:spacing w:before="0" w:after="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school administrator could grant themselves platform-staff reach</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Proved end to end rather than argued: a school administrator holding school.user_overrides.manage created an ALLOW override for a colleague through the real endpoint and received 201, the role path did the same, and the gated endpoint then answered 200. A staff member at one school could read CodeX's entire customer list, because the school list serves every school behind platform.schools.view alone; the same path reached platform.permissions.*, platform.team_overrides.*, platform.staff_payroll.* and platform.documents.view. The only thing that refused it was impersonation, and by accident of a different design. The boundary had been a sentence in the school permission seeder saying a school role must never carry a key the platform tiering would read as cross-tenant reach, and nothing checked it. Permission and PermissionGroup now carry a declared scope of PLATFORM or TENANT, and a PLATFORM key granted inside a tenant is refused. The discriminator is the stored field and not the platform. prefix, because two families inside platform.* are tenant-facing by committed design: platform.team.* gates a queryset already filtered to the caller's own tenant and is held by school admins today, and platform.audit.view and .export belong to audit officers inside a tenant. Enforcing on the prefix would have locked school admins out of user management and audit officers out of their own trail. The split is 344 TENANT to 40 PLATFORM with nothing unclassified, and there is no default, so a future seeder that forgets one fails loudly rather than quietly widening reach.</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A school could approve its own go-live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The approve and reject endpoints were gated by their permission key alone, and the stated defence was that the key is granted to platform roles by default. Because both keys live in the onboarding module rather than under platform they are TENANT-scoped, so the scope guard above never ran for them: a school administrator holding school.roles.create and school.roles.assign could mint a role carrying onboarding.go_live.approve, assign it to herself and activate her own school with no CodeX review. Approve, reject and reinstate are now marked as platform decisions and refuse any caller whose own tenant is not the platform tenant, however the key was obtained. The check reads the real user rather than the effective one, so it cannot be laundered through an impersonated school account, and it refuses with the same answer a caller without the key receives, so the wording cannot be used to discover whether a self-granted key landed. Module 9 gains the capability entry; the grant itself still succeeds, which is what makes the hole real rather than theoretical, and a test proves the endpoint refuses it anyway.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A school administrator could create an account inside CodeX</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 xml:space="preserve">The account-creation serializer accepted user_type from the request body, and CX_STAFF pinned the new row's tenant to CodeX. platform.team.create is deliberately holdable inside a tenant and is evaluated against the tenant the caller asserted, never the tenant the new row lands in, so a school administrator using the key she legitimately needs for her own staff could post user_type: "CX_STAFF" and land an account inside CodeX with is_staff set and a platform staff profile. The target tenant now follows from the actor's own tenant, which she cannot fake, and a regression test replays the exact payload. Module 3 gains the capability entry.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The persona column is gone, and the rule it carried is still in the database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Recorded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 xml:space="preserve">User.user_type and the UserType enum are removed. STUDENT and PARENT were read by no line outside the enum; CX_STAFF and the platform tenant were the same fact held twice with nothing keeping them in step, so the two could drift. Reading which side of the platform boundary a person is on now means asking their tenant. The one rule that hung off the column, that a platform-tenant user may not hold a branch, stays enforced in the database, but by two PostgreSQL triggers rather than by a CHECK constraint: a CHECK provably cannot reach tenant kind, since Django refuses the joined reference and SQL forbids a subquery there. One trigger sits on the user table and one on the tenant table, because the same broken state is one UPDATE away from either side, and both raise the same SQLSTATE the old constraint did. Anyone auditing this rule should look for the triggers, not for a constraint. Two persona spellings went with it: the SCHOOL_ADMIN and BRANCH_ADMIN user types, and the role_label column on Module 1's two primary-admin records, which was written in five places, read in none, and defaulted to those very strings. Reach is the role assignment's branch and authority is the role; job titles live on their own fields. Module 1's capability list is unchanged, because a stored field was removed and no capability was.</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Finish what onboarding cannot yet check</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The checklist, readiness, the go-live gate and the onboarding window are built and a school can run them itself. One required step has no backend behind it, so Academic Structure is what gives onboarding its last machine-checkable condition.</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2.20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20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 xml:space="preserve">Closed two live privilege escalations and removed the persona column both of them leaned on. Neither escalation was a listed gap, because neither was known; they surfaced from asking what actually enforced rules this document already recorded as enforced, and in both cases the answer was a naming convention. First, nothing stopped a school role or a per-user override carrying a platform key, so a school administrator could grant themselves cross-tenant reach and read CodeX's customer list. Permission and PermissionGroup now declare a scope of PLATFORM or TENANT and a platform key granted inside a tenant is refused; the discriminator is that stored field and not the platform. prefix, because platform.team.* and platform.audit.* are tenant-facing by committed design and enforcing on the prefix would have locked school admins out of user management and audit officers out of their own trail. Second, go-live approval was gated by its key alone, and because the onboarding keys are tenant-scoped the new guard never reached them: a school that could mint a role could approve its own go-live. Approve, reject and reinstate now refuse any caller whose own tenant is not the platform tenant, reading the real user rather than the effective one so the decision cannot be laundered through an impersonated account. Third, and closed with the same work, the account-creation serializer accepted user_type from the request body, so a school administrator holding the team-create key she legitimately needs could land an account inside CodeX with staff rights; the new account's tenant now follows from the actor's own. User.user_type and the UserType enum are then removed outright: STUDENT and PARENT had no readers, and CX_STAFF duplicated a fact the tenant already held. The one rule that hung off the column stays in the database as two PostgreSQL triggers rather than a CHECK constraint, because a CHECK cannot reach the tenant's kind, so anyone auditing that rule should look for triggers. Module 1's role_label column goes with it, having been written in five places, read in none, and defaulted to persona strings no enum still had. Separately, the audit trail became filterable by tenant: every writing module now records the tenant and the Explorer narrows to one customer, with platform-layer events still reachable rather than hidden, and the tenant roster withheld from callers outside the platform tenant. Module 3 moves from 14 capability entries to 15, Module 4 from 15 to 17, Module 5 from 12 to 13 and Module 9 from 19 to 20, taking the document from 439 to 444.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18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Made the audit write unable to destroy what it describes, and audited two school writes that had never been recorded. emit_audit_event promised in its own docstring never to block business logic and caught its exceptions accordingly, but its INSERT ran inside the caller's transaction with no savepoint: a database error there marks the whole enclosing transaction for rollback, and the caller's own legitimate write was then refused at commit. Every school and branch update, every school creation and every onboarding effect on the platform carried that risk, and the writes now run in their own atomic block. With that made true, school update and school configuration reset emit the before and after evidence they never emitted, and a slug move - which changes the host every one of a school's users signs in at - carries WARNING severity and a summary naming both addresses. The "system" default on the actor was removed, because the actor column is a foreign key and a string raises inside a helper that swallows its own failures, so a defaulted actor produced no event at all rather than a system-attributed one. Module 5 keeps its 12 capability entries and its clean bill: the shared logging service was already listed, and what changed is that it now honours the contract it had published. Module 1 gains three entries it had been running unlisted - the main-branch handover and in-service guarantee, school sign-in address governance and the go-live freeze, and school and branch audit evidence - taking it from 14 to 17 and the document from 436 to 439 entries. Module 1 stays Backend Partial and Integration Partial, because school lifecycle control is what holds it there and is unchanged. No module status,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Removed the stored branch flag and the onboarding step that depended on it. School.operates_branches recorded whether a school ran more than one site and could disagree with the branch rows it described; it is now counted from them instead and has left the school create, update and detail payloads. A branch is required at school creation, so a school can no longer be created with nowhere to put a user, a document or a record, and a school created with one branch has it promoted to main. That made the branch checklist step unreachable, because it would have arrived already satisfied for every school: it is removed from the catalogue, which now runs seven steps, and a migration deletes the rows that carried it rather than leave behind a required step no condition could clear. Module 9 falls from 20 capability entries to 19 and Module 1 exchanges its branch-operating declaration for the mandatory main branch, taking the document from 437 to 436 entries. No module backend or integration state, ownership, priority gap or build-order step changed. This is backend evidence only; nothing here is deployed.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17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Recorded School Onboarding as a delivered module rather than a set of side effects of school creation. A school that is not yet live signs in and reaches an onboarding surface and nothing else, refused per view and closed by default; works a checklist whose steps are machine-checked wherever a backend exists; asks to go live; and is activated by platform staff in one transaction that writes the school, the tenant, the readiness row and the request together or not at all. An abandoned onboarding is warned at seventy-six days and suspended at ninety, with a fortnightly operator list and a manual way back. Books now arrive with the school instead of through a platform-only endpoint, closing the money bridge onboarding depended on, and a tenant may keep only one primary set of them. A required checklist step can no longer be skipped, which reverses the rule the module's specification carried. Module 9 moves to Backend Complete and Integration Partial with 20 capability entries; Modules 1, 4, 19 and 31 gain the capabilities this work added to them, and the document moves from 419 to 437 entries. What remains for Module 9 is the academic structure module, which is the only required step the platform still cannot check, and the finance abstraction layer.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Moved the email design into the database. An email template was a subject, a body and, for five of them, a hand-written HTML document; the rest went out as plain text, and none of it could be seen or changed outside the code. A template is now plain text plus an optional button, one shared layout composes the visual, and the composed markup is stored on the template with its placeholders intact, so the console can show and edit exactly what will be delivered. A template follows the platform design until somebody edits its markup, and can be reset to it. Preview renders the stored markup with generated sample values and accepts unsaved edits, so an author sees the real message as they type. Three defects closed with it: values substituted into markup were not escaped, notification search never reached the server so page counts described the unsearched list, and records sharing a dispatch timestamp could repeat or vanish between pages. The inbox now opens on unread. Module 8 gains six capabilities, taking the document from 413 to 419 entries, and gains its first FRD. The Django admin site and its thirteen unused registration modules were removed, and the test suite moved from SQLite to PostgreSQL with eager Celery.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15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Gave vendor bills and vendor payments somewhere to keep the counterparty's paper. A recurring charge captured without a purchase order previously left no trail beyond a reference string. Attachments are accepted after posting, because the supplier's invoice usually follows the booked charge and a receipt always follows the payment, and uploading is a separate permission from editing the document's amounts. The three separate upload checks across the platform became one, which also closed two defects: an unsupported expense-claim receipt returned a server error rather than a validation message, and a ticket attachment's stored content type was taken from the uploader's declaration rather than its bytes, so markup declared as an image was served back inline. Module 23 gains two capability entries, and Module 31's stale index count is corrected from eleven to twelve.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Made the adjustment threshold decide. A concession or credit note was gated at every amount, so the threshold this document has described since v2.12 never took effect and a small goodwill allowance could not reach the ledger by any route. The direct-post gate now asks whether any stage of the resolved template would apply rather than whether a template exists, the seeded ladder carries the threshold on its first stage as well as its senior one, and a migration repairs ladders published before the change. Gate and engine now resolve templates through one function, which also corrected the gate's handling of a switched-off template and of the template code. Adjustment reads carry the approval requirement so a client need not reimplement the scope cascade.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14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Gave stock its location dimension. Stock had been one pool per entity, so a school with two campuses held one balance and one average cost per item and an issue at one campus could draw against stock standing at the other, because the availability check measured the entity total. A stock location is now a first-class record with an optional campus, balances are held per item and location, and availability, valuation and the movement history are all measured there. Each location carries its own weighted average, while the item totals remain as the roll-up so entity valuation and the inventory-account reconciliation are unchanged. A goods receipt lands at the receiving campus's store. Single-store schools are unaffected: a default location is created with the books and a call that names none resolves to it, but where an entity has more than one, an unnamed movement is refused rather than defaulted. A migration opens a MAIN location, balances and back-stamped movements for existing tenants. Module 24 gains one capability, taking the total from 407 to 408, its needs-attention item narrows to the migrated history and the missing transfer document, and the M22-M24 branch-scoping gap narrows to procurement documents.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2.12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r>
              <w:t>Switched on four controls that had been built and never used, and reversed one default. The period close ran without procurement's AP and GR/IR checks because the seam for them was an argument only a test ever passed; a registry now carries them, with AP drift blocking and GR/IR warning. Approval ladders for spend, payouts and adjustments are published when a tenant's books are created, so the gates no longer depend on somebody remembering a command. Finance had published no adjustment ladders at all, so refunds and write-offs posted directly despite having a submit endpoint and a handler; both are now gated, and concessions and credit notes are gated above a configurable threshold. Bills with no purchase order are refused by default, on existing tenants too. Modules 19 and 20 each gain one capability, taking the total from 405 to 407. The onboarding-seeds gap and build-order step narrow to the checklist and go-live states that remain.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2.11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r>
              <w:t>Added Module 31 privacy-safe product context for guide-to-support handoff. Ticket creation now accepts only guide ID, normalized route pattern, product area, and app version; unknown fields and live record-bearing URLs are rejected, and responses re-allowlist the approved keys. Module 31 remains Backend Complete and Integration Complete. Its capability count rises from 10 to 11 and the document total rises from 404 to 405.</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Cleared the vendor-prepayment item from Module 21. Paying a supplier ahead of their bill no longer debits accounts payable for the whole gross: the debit is split at source, accounts payable takes only what the payment settles, and the rest is held as a vendor-advance asset until a bill arrives to reclassify it. A one-time backfill corrects historical prepayments and re-seeds the advance account for entities created before it existed. It was the module's only open item, so Module 21 now carries a current-decision note instead. No module status, ownership, capability count, priority gap, or build order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v2.17</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v2.17</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2.17</cp:version>
</cp:coreProperties>
</file>