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Prepared by:  CodeX Team        Version:  2.21</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2.21</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21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Backend main at 37b0e62 (21 August 2026), plus the change described in section 5</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445</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7"/>
              </w:rPr>
              <w:t>5. v2.21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rPr>
                <w:rFonts w:ascii="Aptos Narrow" w:hAnsi="Aptos Narrow"/>
                <w:b w:val="0"/>
                <w:color w:val="000000"/>
                <w:sz w:val="17"/>
              </w:rPr>
              <w:t>A read-only security queue repaired, and the empty-list response shape corrected across every module</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20</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 xml:space="preserve">Authentication, invitations, account security, sessions, platform staff, and organization-position structures. Which side of the platform boundary a person sits on is read from their tenant; the User.user_type persona column that used to shadow it is gone, and a new account now lands in the acting user's own tenant rather than in one the request body names.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xml:space="preserve">▸  Tenant boundary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 xml:space="preserve">Two-layer platform and school authorization with reusable permission definitions, roles, templates, assignments, and controlled overrides. Every permission and permission group now declares whether it is a platform key or a tenant key, and a platform key granted inside a tenant is refused on the role path and the override path alike.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 xml:space="preserve">CURRENT DECISION • No material capability gap was identified within this module's stated backend scope. • A privilege escalation that ran through this module is closed: until 19 August 2026 nothing stopped a school role or a per-user override carrying a platform key, so a school administrator could grant themselves cross-tenant reach. The boundary is now a declared scope on the permission rather than a convention about its name.</w:t>
            </w:r>
          </w:p>
          <w:p w14:paraId="27F916CD" w14:textId="77777777" w:rsidR="00472341" w:rsidRDefault="00000000">
            <w:pPr>
              <w:spacing w:after="20"/>
              <w:ind w:left="86" w:hanging="86"/>
            </w:pPr>
            <w:r>
              <w:rPr>
                <w:sz w:val="16"/>
              </w:rPr>
              <w:t xml:space="preserve"/>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academic structure module exists, so one required checklist step has no backend to check against and completes on the school's word. It is the single thing that stops a school reaching readiness unaided.</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published when a tenant's books are created and never auto-skip, so the gate over the highest-risk cash-out path is on from onboarding rather than from a remembered command.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and privacy-safe product context for guide-to-support handoff.</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The onboarding checklist, readiness, go-live gate and expiry window are built. One required step has no backend to check against, so a school completes it on its word; building Module 13 is what closes it.</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Scope procurement documents, approvals and reporting to the correct branch where required. Stock locations are done: a location may belong to a branch, and a goods receipt lands at the receiving branch's store.</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v2.21 Documentation Delta</w:t>
      </w:r>
    </w:p>
    <w:p w14:paraId="4C4A5E5A" w14:textId="77777777" w:rsidR="00472341" w:rsidRDefault="00000000">
      <w:pPr>
        <w:spacing w:after="100" w:line="240" w:lineRule="auto" w:before="0"/>
      </w:pPr>
      <w:r>
        <w:t>This revision records a read-only security queue that had never worked, and a response shape that every module shares. The pending password-reset queue answered HTTP 500 to every caller from the day it was written: the view returned the success envelope without the message argument the helper required, so the handler raised before it could serialise anything. Its queryset, serializer and permission gate were all correct, which is why the fault survived review. Repairing it exposed the wider defect. The envelope wrote data or an empty object, so an empty list arrived as an object, and every non-paginated list endpoint on the platform answered the no-rows case with a shape its callers could not iterate. Three module documents recorded that coercion as the contract callers must expect; it is now corrected in all of them. The queue also crossed tenants without saying so, and now names the tenant on every row and narrows to one on request. Module numbering, the status model and every module's backend and integration state are unchanged, and no priority gap opens or closes. Module 3 moves from 15 capability entries to 16, taking the document from 444 to 445 entries.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v2.21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pending password-reset queue could not be read at all</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/v1/user/password-resets/ raised TypeError inside the view and returned HTTP 500 with SERVER_ERROR to every caller, platform staff included, on every call since the endpoint was written. success_response required a message argument the call site did not pass. The message is now optional, so a list response with nothing to announce cannot fail this way again, and the three call sites that omitted it carry one. Covered by twelve tests in vs_user.test_password_reset_list, which exercise the real login path and the ?tenant= assertion rather than bypassing them.</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list endpoint returned an empty list as an object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envelope wrote data or an empty object, and an empty list is falsy, so the no-rows case of every non-paginated list endpoint answered with an object. The console crashed on the first screen to meet a genuinely empty list. Only a missing payload now becomes an object; a list stays a list, which is what the paginated envelope always did. Three module documents recorded the old coercion as the contract and are corrected in step: M03, M04, M05 and M09.</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pending queue crossed tenants without naming them</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queue is platform-wide by design, because revoking a live reset link for a school's principal is what the screen is for and only platform accounts reach it. Each row now carries tenant_id, tenant_slug and tenant_name, and ?tenant_id= narrows the list to one school; a non-numeric value is refused with 400 rather than raising inside the ORM. Naming the tenant costs no extra query, which is pinned by a test comparing one row against ten.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Two school permission keys sat in no permission group</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school.profile.view and school.profile.update were registered by the seeder but placed in no group, so the school permission group catalogue no longer covered its own module. They now sit in School Profile and Settings, whose stated purpose already covered them. The count assertions that had been left behind at 46 keys were corrected to 48 with the reason recorded, and the branch-admin default to 23.</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v2.20.1</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v2.20.1</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2.20.1</cp:version>
</cp:coreProperties>
</file>