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2.22</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2.22</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22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fa82dbb (22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v2.22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Two cross-tenant reads closed: a ledger list that offered books it would not open, and nine dashboard counts that spanned every tenant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branch, and a goods receipt lands at the receiving branch's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v2.22 Documentation Delta</w:t>
      </w:r>
    </w:p>
    <w:p w14:paraId="4C4A5E5A" w14:textId="77777777" w:rsidR="00472341" w:rsidRDefault="00000000">
      <w:pPr>
        <w:spacing w:after="100" w:line="240" w:lineRule="auto" w:before="0"/>
      </w:pPr>
      <w:r>
        <w:t>This revision records two cross-tenant reads that are now closed. Neither was a listed gap, because neither was known; both surfaced from asking what actually enforced a boundary this document already recorded as enforced. They share one shape: a query that decided tenant visibility on its own, sitting beside a permission check that made it look guarded. The finance entity list skipped its tenant filter for a platform caller while resolve_entity never did, so the console offered every school's set of books and then refused to open any of them; the two now read from one function, and the comment claiming they already agreed is gone. The console overview repeated the pattern nine times, checking the caller's key against their own tenant and then counting the whole platform, and its worst case returned a name rather than a number: a school's dashboard could report a different school as having the worst fiscal runway. Module numbering, the status model and every module's backend and integration state are unchanged, no priority gap opens or closes, and no capability is added or removed, so the document stays at 31 modules and 445 capability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v2.22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entity picker listed books it would not open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/v1/finance/entities/ skipped its tenant filter entirely when the caller's tenant kind was PLATFORM, while resolve_entity, which every entity-scoped endpoint goes through, filtered strictly on the asserted tenant and granted no such latitude. The console therefore listed all thirteen sets of books on the platform and answered "No ledger entity matches" on the ten it would not open. Both now read from visible_entities(), so a list can no longer offer what opening it would refuse. The list's own comment described it as "defence-in-depth, matching resolve_entity", which it did not do, and that claim is the reason the drift survived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Nine dashboard counts spanned every tenant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console overview checked the caller's permission on their own tenant and then queried the whole platform for ledger entities, draft journals, purchase orders, webhook events, overdue invoices, unallocated payments, unpaid vendor invoices, open RFQs and expiring contracts. The endpoint is open to any active account by design, with each section carrying its own key. The fiscal-runway signal was the worst of the nine because it returned entity_name: a school's dashboard could name a different school and its fiscal position. The same file's team count had applied the tenant boundary correctly for some time, so the rule was known and simply not carried into the signals. All nine are scoped now, covered by tests that assert a quiet tenant gets no signal from a noisy neighbour.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recorded the cross-tenant listing as intended behaviour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finance suite carried a test named test_cx_staff_sees_every_entity, which asserted that a platform caller sees every school's books. The leak was not an oversight that escaped the tests; it was written down as the expected contract, which is why nothing flagged it. That class now asserts the rule instead, and a new one covers it end to end on both the list and the resolver, by code and by primary key, and in both directions across the boundary.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unattributed webhook failure is now counted for nobody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so scoping the failure count leaves it counted for no one, CodeX included. This is deliberate: a platform exemption inside a scoping query is what produced the entity-list defect above. Unattributable events want a platform-operations signal of their own rather than a hole in a tenant-scoped one, and that signal is not built.</w:t>
            </w:r>
          </w:p>
        </w:tc>
      </w:tr>
      <w:tr>
        <w:tc>
          <w:tcPr>
            <w:tcW w:type="dxa" w:w="2520"/>
          </w:tcPr>
          <w:p>
            <w:r>
              <w:t>Module 2 gains its first FRD</w:t>
            </w:r>
          </w:p>
        </w:tc>
        <w:tc>
          <w:tcPr>
            <w:tcW w:type="dxa" w:w="1368"/>
          </w:tcPr>
          <w:p>
            <w:r>
              <w:t>Added</w:t>
            </w:r>
          </w:p>
        </w:tc>
        <w:tc>
          <w:tcPr>
            <w:tcW w:type="dxa" w:w="6580"/>
          </w:tcPr>
          <w:p>
            <w:r>
              <w:t>The console overview fix had nowhere to be recorded at module level, because vs_admin_console had no functional requirements document. XVS_M02_XVision_Admin_Console_Functional_Requirements_Document_v1.0 is written against the same backend and records fourteen requirements: the aggregated landing screen and its per-section gating, the tenant scoping the signals now carry, the two impersonation namespaces and why they are never unioned, the tiered start keys, the single-active-session rule and the four ways a session ends, the dual-identity trail, the task monitor and the requirements library. Writing it surfaced one gap this document had not recorded: GET /admin/dashboard/ validates its filter parameters and then returns a hardcoded empty list, so a caller cannot distinguish an unbuilt endpoint from an empty school estate. Module 2 stays Backend Complete, since its main endpoints are present, and the defect is carried in its needs-attention note as the evidence boundary provides for.</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