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Prepared by:  CodeX Team        Version:  2.24</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2.24</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23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Backend worktree at 77926ad plus platform webhook operations (23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447</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v2.24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rPr>
                <w:rFonts w:ascii="Aptos Narrow" w:hAnsi="Aptos Narrow"/>
                <w:b w:val="0"/>
                <w:color w:val="000000"/>
                <w:sz w:val="17"/>
              </w:rPr>
              <w:t>Platform ownership of provider webhooks that belong to no tenant</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Tenant scope follows the asserted tenant and nothing else. Seniority does not widen it: a platform account reads CodeX's own records, not every tenant's, and reading another tenant's data is done by proxying a user who holds the permission there.</w:t>
            </w:r>
          </w:p>
          <w:p w14:paraId="2D0FC336" w14:textId="77777777" w:rsidR="00472341" w:rsidRDefault="00000000">
            <w:pPr>
              <w:spacing w:after="20"/>
              <w:ind w:left="86" w:hanging="86"/>
            </w:pPr>
            <w:r>
              <w:rPr>
                <w:sz w:val="16"/>
              </w:rPr>
              <w:t>• Billing, adjustments, accounting, and fixed assets are consolidated in vs_finance.</w:t>
            </w:r>
          </w:p>
          <w:p w14:paraId="50C0B56C" w14:textId="77777777" w:rsidR="00472341" w:rsidRDefault="00000000">
            <w:pPr>
              <w:spacing w:after="20"/>
              <w:ind w:left="86" w:hanging="86"/>
            </w:pPr>
            <w:r>
              <w:rPr>
                <w:sz w:val="16"/>
              </w:rPr>
              <w:t>• Collections, payouts, provider webhooks, and settlement services are in vs_payments.</w:t>
            </w:r>
          </w:p>
          <w:p w14:paraId="0BFCE307" w14:textId="77777777" w:rsidR="00472341" w:rsidRDefault="00000000">
            <w:pPr>
              <w:spacing w:after="20"/>
              <w:ind w:left="86" w:hanging="86"/>
            </w:pPr>
            <w:r>
              <w:rPr>
                <w:sz w:val="16"/>
              </w:rPr>
              <w:t>• Vendor, sourcing, purchase-to-pay, and stock services are consolidated in vs_procurement.</w:t>
            </w:r>
          </w:p>
          <w:p w14:paraId="7F9E4181"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11</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16</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21</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p w14:paraId="3E26E65B" w14:textId="77777777" w:rsidR="00472341" w:rsidRDefault="00000000">
            <w:pPr>
              <w:spacing w:after="0"/>
            </w:pPr>
            <w:r>
              <w:rPr>
                <w:color w:val="000000"/>
                <w:sz w:val="16"/>
              </w:rPr>
              <w:t>▸  Unattributed-webhook platform signal</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p w14:paraId="6A0B4D7F" w14:textId="77777777" w:rsidR="00472341" w:rsidRDefault="00000000">
            <w:pPr>
              <w:spacing w:after="20"/>
              <w:ind w:left="86" w:hanging="86"/>
            </w:pPr>
            <w:r>
              <w:rPr>
                <w:sz w:val="16"/>
              </w:rPr>
              <w:t>• The school estate list validates its filters and then returns a hardcoded empty body, so a caller cannot tell an unbuilt endpoint from an empty estate. The landing screen's own school count is separate and works. Build the items or withdraw the route.</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 xml:space="preserve">Authentication, invitations, account security, sessions, platform staff, and organization-position structures. Which side of the platform boundary a person sits on is read from their tenant; the User.user_type persona column that used to shadow it is gone, and a new account now lands in the acting user's own tenant rather than in one the request body names.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xml:space="preserve">▸  Tenant boundary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 xml:space="preserve">Two-layer platform and school authorization with reusable permission definitions, roles, templates, assignments, and controlled overrides. Every permission and permission group now declares whether it is a platform key or a tenant key, and a platform key granted inside a tenant is refused on the role path and the override path alike.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 xml:space="preserve">CURRENT DECISION • No material capability gap was identified within this module's stated backend scope. • A privilege escalation that ran through this module is closed: until 19 August 2026 nothing stopped a school role or a per-user override carrying a platform key, so a school administrator could grant themselves cross-tenant reach. The boundary is now a declared scope on the permission rather than a convention about its name.</w:t>
            </w:r>
          </w:p>
          <w:p w14:paraId="27F916CD" w14:textId="77777777" w:rsidR="00472341" w:rsidRDefault="00000000">
            <w:pPr>
              <w:spacing w:after="20"/>
              <w:ind w:left="86" w:hanging="86"/>
            </w:pPr>
            <w:r>
              <w:rPr>
                <w:sz w:val="16"/>
              </w:rPr>
              <w:t xml:space="preserve"/>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Importance-aware background completion policy</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branch, and a goods receipt lands at the receiving branch's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v2.24 Documentation Delta</w:t>
      </w:r>
    </w:p>
    <w:p w14:paraId="4C4A5E5A" w14:textId="77777777" w:rsidR="00472341" w:rsidRDefault="00000000">
      <w:pPr>
        <w:spacing w:after="100" w:line="240" w:lineRule="auto" w:before="0"/>
      </w:pPr>
      <w:r>
        <w:t>This revision records who owns a provider webhook that belongs to no tenant. Scoping every console count to the asserted tenant, which v2.22 recorded, closed a cross-tenant read and left a smaller hole behind it: a webhook reaches a tenant only through its collection or payout side, both of which are nullable, so an event attached to neither passed no tenant filter and was counted for nobody at all. Those are the failures that matter operationally, because they are the shape a broken signature check or a flood of garbage at the endpoint takes. The platform now carries a signal of its own for them. No module state, ownership, priority gap or build order changes; Module 2 gains one capability and the document moves from 446 to 447 entries.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v2.24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failure belonging to nobody was counted by nobody</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webhook attached to neither a collection nor a payout satisfies no tenant filter. After the v2.22 scoping it was excluded from every count including CodeX's, so two hundred failed signature checks overnight went from visible to every tenant to visible to none. unattributed_webhook_failures_24h reports them to a caller whose asserted tenant is the platform one, behind the payments.webhook.view key that already admits the tenant-scoped count.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new signal is not the exemption v2.22 removed</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Preserved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It selects rows attached to neither side rather than widening a platform caller's count to everything, so what it reports is nobody's data rather than everybody's. A test pins the difference directly: with one failure belonging to another school and one belonging to nobody, the platform signal counts one and not two, so a later relaxation into a blanket exemption fails the suite instead of passing quietly.</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2 records the signal as a capability</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Added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XVision Admin Console capability list gains unattributed-webhook platform signal, and Module 2 rises from 10 entries to 11. The total rises from 446 to 447; no status, gap or build-order decision changes. M02 FRD v1.1 carries the matching requirement as FR-015.</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the platform ownership of provider webhooks that belong to no tenant. The tenant scoping recorded in v2.22 was correct and left a hole underneath it: a webhook reaches a tenant only through its collection or payout side, both nullable, so an event attached to neither passed no filter and was counted for no one, CodeX included. A broken signature check or a flood of garbage at the endpoint produces exactly that shape, and it went from visible to every tenant to visible to none, which is the worse of the two. The console now carries unattributed_webhook_failures_24h for a caller whose asserted tenant is the platform one. It is deliberately not the exemption v2.22 removed: it selects rows attached to neither side rather than widening a platform caller's count to everything, and a test holds that difference so a later relaxation fails rather than passes. Module 2 gains one capability and the document moves from 446 to 447 entries. No module state, ownership, priority gap or build order changed.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Separated View Queues from bell importance. Routine email and system jobs remain tracked but no longer create generic completion alerts; imports keep their shared result notice; exports keep only their domain-specific ready or failed event and email. Module 8 gains one capability and the document moves from 445 to 446 entries. No module state, ownership,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Closed two cross-tenant reads, neither of them a listed gap. Both were the same mistake twice: a query deciding tenant visibility by itself, next to a permission check that made it look guarded. First, the finance entity list exempted a platform caller from its tenant filter while resolve_entity, which every entity-scoped endpoint uses, exempted nobody. The console listed every school's set of books and then refused to open any of them, so the visible symptom was a broken picker rather than the disclosure underneath it. One function now answers for both, and the rule it states is that scope follows the asserted tenant alone: reading another tenant's ledger is done by proxying a user who holds the finance key there, so the books are always read as someone entitled to them and the act is attributable. A test asserting that platform staff see every entity had been holding the old behaviour in place and now asserts the rule. Second, nine counts on the console overview carried their permission gate without a tenant filter, across finance, procurement and payments; the fiscal-runway signal returned a name, so a school's dashboard could report a different school's fiscal position. The endpoint's own docstring promised that a section the caller cannot fetch directly is omitted rather than leaked, and these nine broke that promise. Scoping the webhook count leaves events attached to no collection or payout counted for nobody, which is deliberate rather than overlooked. Module numbering, the status model, every backend and integration state, every ownership entry, the priority gaps and the build order are unchanged, and the document stays at 31 modules and 445 capability entries. Module 19's FRD advances to v1.3 in step, and Module 2 gains its first FRD at v1.0, whose writing surfaced an unrecorded gap: the school estate list validates its filters and returns a hardcoded empty body. Module 2 stays Backend Complete and carries the defect in its needs-attention note.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Document-only patch. Retired the word campus from the text describing current behaviour, in favour of branch. Campus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v2.20.1</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v2.20.1</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2.20.1</cp:version>
</cp:coreProperties>
</file>