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2.28</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2.28</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25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Backend main at 07beb5f plus request-bound identity action-token and secret-safe notification delivery changes (25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449</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8"/>
              </w:rPr>
              <w:t>5. v2.28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Request-bound one-time credentials and secret-safe delivery</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11</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t>15</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t>Authentication, invitations, account security, sessions, platform staff, and organization-position structures. Invitation and password-reset links now carry separate token families, store only a keyed SHA-256 digest on the exact request row, rotate on resend or reissue, and consume that row under a lock. Which side of the platform boundary a person sits on is read from their tenant.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expiry, and token rotation</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 Branch reach is resolved from the grants alone, and one person may hold the same role at more than one branch.</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p w14:paraId="27F916CD" w14:textId="77777777" w:rsidR="00472341" w:rsidRDefault="00000000">
            <w:pPr>
              <w:spacing w:after="20"/>
              <w:ind w:left="86" w:hanging="86"/>
            </w:pPr>
            <w:r>
              <w:rPr>
                <w:sz w:val="16"/>
              </w:rPr>
              <w:t>•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A role granted for the whole school now reaches the whole school. The branch narrowing and the permission gate are resolved from the same grants, so a Finance Officer for the whole school is no longer narrowed to the one site her staff record happens to name while the gate lets her act at the others. Writes follow reads: what she raises without naming a branch is filed school-wide.</w:t>
            </w:r>
          </w:p>
          <w:p w14:paraId="27F916CD" w14:textId="77777777" w:rsidR="00472341" w:rsidRDefault="00000000">
            <w:pPr>
              <w:spacing w:after="20"/>
              <w:ind w:left="86" w:hanging="86"/>
            </w:pPr>
            <w:r>
              <w:rPr>
                <w:sz w:val="16"/>
              </w:rPr>
              <w:t>• The same role may now be granted at two branches. The schema always allowed it and both write paths refused it, so a teacher working at two sites could hold the role at one. Every count that reads assignments counts people rather than grant rows.</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p w14:paraId="35220B93" w14:textId="77777777" w:rsidR="00472341" w:rsidRDefault="00000000">
            <w:pPr>
              <w:spacing w:after="20"/>
              <w:ind w:left="86" w:hanging="86"/>
            </w:pPr>
            <w:r>
              <w:rPr>
                <w:sz w:val="16"/>
              </w:rPr>
              <w:t>• Branch scope resolution now answers for writes as well as reads. A named ?branch= is checked against the caller's own grants at the one lookup every configuration view passes through, so a configuration administrator pinned to one site can no longer set another site's values, and a holder of a school-wide configuration role may set them at every branch.</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t>Event-driven in-app and email delivery. One-time invitation and reset credentials are replaced only in the delivery worker, so notification records retain a marker rather than the raw secret.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Secret-safe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Every branch-bearing ledger list, summary and detail read narrows to the caller's branches, and a document is stamped with the branch it was raised at. The trial balance, income statement and balance sheet are not narrowed: they aggregate through several relation paths and were left for their own design round.</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p w14:paraId="502C2918" w14:textId="77777777" w:rsidR="00472341" w:rsidRDefault="00000000">
            <w:pPr>
              <w:spacing w:after="20"/>
              <w:ind w:left="86" w:hanging="86"/>
            </w:pPr>
            <w:r>
              <w:rPr>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site's bill.</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privacy-safe guide-to-support context, and dimensionless how-to analytics for platform editorial review.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t>▸  Privacy-safe guide engagement and search-gap event intake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t>▸  Platform guide-editor aggregates, scoped ingestion limits, and 180-day retention</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 narrowing on the financial statements</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Procurement, stock and the finance ledgers now narrow to the caller's branches, and documents are stamped with the branch they were raised at. The trial balance, income statement and balance sheet were deliberately left out because they aggregate ledger lines through several relation paths and need their own design round, so a branch-bound bursar still reads the whole entity's position. Narrow them, or record that a statement is an entity-level report by definition.</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M19, M4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v2.28 Documentation Delta</w:t>
      </w:r>
    </w:p>
    <w:p w14:paraId="4C4A5E5A" w14:textId="77777777" w:rsidR="00472341" w:rsidRDefault="00000000">
      <w:pPr>
        <w:spacing w:after="100" w:line="240" w:lineRule="auto" w:before="0"/>
      </w:pPr>
      <w:r>
        <w:t>This revision closes a credential-rebinding defect across Modules 3 and 8. Every invitation and password-reset issue now creates its own random token, stores only the keyed SHA-256 digest on the row that owns it, and uses a separate token family. Preview and confirmation resolve that exact row; successful confirmation locks and consumes it once. A new reset therefore cannot make an older URL valid again. Notification records store a marker rather than the raw credential, and the delivery worker substitutes the raw value only in memory immediately before SMTP. Existing invitation URLs remain usable through the migration; legacy reset rows are consumed because the old schema could not prove which URL belonged to which row. Module states, capability counts, priority gaps, and build order are unchanged.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v2.28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Old reset URL could revive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reset owns a unique pr_ token digest. Preview and confirmation query that exact PasswordResetRequest row, and a new request consumes the previous unused row.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user key served two actions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Separated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Invitation tokens use the iv_ family and invitation HMAC salt; reset tokens use pr_ and a different salt. A token from one family is refused by the other.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Two confirmations could race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Serialized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Confirmation locks the user and the exact request row with select_for_update, repeats the unused and expiry checks, and consumes the row in the password transaction.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Raw links could persist in delivery history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Prevented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Notification body and HTML store a marker. The Celery delivery call carries the replacement transiently and injects it only into the in-memory message sent to SMTP.</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Existing rows had no request-bound token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Migrated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Already-issued invitation UUIDs are preserved as invitation-only digests. Existing reset rows are consumed because no safe mapping from an old URL to one row existed.</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and the finance ledgers is done; what is left there is the financial statements.</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old password-reset link revival defect. Invitations and resets now issue separate token families, store only keyed SHA-256 digests on their owning rows, resolve preview and confirmation to that exact row, and consume under a row lock. A newer request or invitation resend kills the older URL, and a token cannot cross from invitation to reset. Notification history stores a marker rather than a live credential; the raw value is substituted only inside the delivery worker immediately before SMTP. The migration preserves existing invitation links and consumes legacy reset rows that could not be bound safely. Module 3 remains Backend Partial and Integration Partial on MFA and tenant lifecycle; Module 8 remains Complete. Capability counts, priorities, and build order are unchanged at 449 entries. Reconciled to Identity FRD v1.3 and Notifications FRD v1.2.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31's privacy-safe how-to editorial loop. Active users can emit only closed guide and walkthrough event shapes; no-result search text is reduced before storage; raw events carry no tenant, actor, record, or arbitrary metadata dimension; aggregate summaries require platform.health.view and never return raw rows or a tenant split; and events expire after 180 days. Added a 120-per-minute authenticated-user throttle to ingestion so a faulty client or deliberate script cannot flood the table or dominate counts. Module 31 gains two capabilities and the document moves from 447 to 449 entries. No module state, ownership, priority gap, or build order changed. Reconciled to Support FRD v1.2.</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Records the sweep of the School &amp; Branch Management defect report of 13 August. Eleven items were re-checked against the current code and seven were already closed, including both blockers - a phantom school field used to write and read module entitlements, which raised on every school created with a package and on every subsequent read of one, and a leftover debug handler that turned an unknown school slug into a 500 - and two items that described FRD text no longer present. Four were still open, and all four were rules Module 1 documented and did not keep. A package plan's branch ceiling was stored, seeded and shown on the plans screen while no creation path read it. A configuration reset accepted any non-empty confirmation token, so an operator could delete the wrong school's branding with nothing in the request naming the school. An administrator named at two branches in one request was granted at one of them. And an update validated the whole row after a partial change, so a column left blank by another path refused an unrelated edit - permanently, on the school endpoint, because the field in question is not writable there. All four are closed and covered by tests. No module status, integration state, capability entry, capability count, ownership, dependency or priority gap moves: Module 1 stays Backend Partial and Integration Partial on school lifecycle control, which none of this touches, and its two Needs Attention items - the commercial lifecycle and closed-branch access rules - stand exactly as v2.25 issued them. The reset and admin-provisioning fixes each close half of a Module 1 gap and the surviving halves are named rather than implied, in FRD M01 v1.13. Minor rather than patch, because documented limitations were withdrawn on evidence. Section 5 is replaced rather than carried forward. Reconciled to FRD M01 v1.13.</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v2.28</dc:title>
  <dc:subject>31-module code-aligned capability tracker</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2.28</cp:version>
</cp:coreProperties>
</file>