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Prepared by:  CodeX Team        Version:  2.31</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2.31</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25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Backend main at 8a48403 plus the workflow auto-skip default change (25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450</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8"/>
              </w:rPr>
              <w:t>5. v2.31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The auto-skip default, the removed submit route, and the retired permission key</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Tenant scope follows the asserted tenant and nothing else. Seniority does not widen it: a platform account reads CodeX's own records, not every tenant's, and reading another tenant's data is done by proxying a user who holds the permission there.</w:t>
            </w:r>
          </w:p>
          <w:p w14:paraId="2D0FC336" w14:textId="77777777" w:rsidR="00472341" w:rsidRDefault="00000000">
            <w:pPr>
              <w:spacing w:after="20"/>
              <w:ind w:left="86" w:hanging="86"/>
            </w:pPr>
            <w:r>
              <w:rPr>
                <w:sz w:val="16"/>
              </w:rPr>
              <w:t>• Billing, adjustments, accounting, and fixed assets are consolidated in vs_finance.</w:t>
            </w:r>
          </w:p>
          <w:p w14:paraId="50C0B56C" w14:textId="77777777" w:rsidR="00472341" w:rsidRDefault="00000000">
            <w:pPr>
              <w:spacing w:after="20"/>
              <w:ind w:left="86" w:hanging="86"/>
            </w:pPr>
            <w:r>
              <w:rPr>
                <w:sz w:val="16"/>
              </w:rPr>
              <w:t>• Collections, payouts, provider webhooks, and settlement services are in vs_payments.</w:t>
            </w:r>
          </w:p>
          <w:p w14:paraId="0BFCE307" w14:textId="77777777" w:rsidR="00472341" w:rsidRDefault="00000000">
            <w:pPr>
              <w:spacing w:after="20"/>
              <w:ind w:left="86" w:hanging="86"/>
            </w:pPr>
            <w:r>
              <w:rPr>
                <w:sz w:val="16"/>
              </w:rPr>
              <w:t>• Vendor, sourcing, purchase-to-pay, and stock services are consolidated in vs_procurement.</w:t>
            </w:r>
          </w:p>
          <w:p w14:paraId="7F9E4181"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p w14:paraId="7F9E4181" w14:textId="77777777" w:rsidR="00472341" w:rsidRDefault="00000000">
            <w:pPr>
              <w:spacing w:after="20"/>
              <w:ind w:left="86" w:hanging="86"/>
            </w:pPr>
            <w:r>
              <w:rPr>
                <w:sz w:val="16"/>
              </w:rPr>
              <w:t>• The shared success envelope returns an empty list as an empty list. It previously coerced any empty collection to an empty object, and every non-paginated list endpoint inherited that shape.</w:t>
            </w:r>
          </w:p>
          <w:p w14:paraId="7F9E4181" w14:textId="77777777" w:rsidR="00472341" w:rsidRDefault="00000000">
            <w:pPr>
              <w:spacing w:after="20"/>
              <w:ind w:left="86" w:hanging="86"/>
            </w:pPr>
            <w:r>
              <w:rPr>
                <w:sz w:val="16"/>
              </w:rPr>
              <w:t>• Branch reach follows the role grant. A grant made for the whole tenant reaches every branch, a grant pinned to branches reaches those while they are in service, and the branch on a staff record is a home posting that decides only for somebody who holds no grants at all. The same answer serves the permission gate and the row filter, so the two cannot disagree about one person.</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11</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16</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21</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15</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t>15</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branch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p w14:paraId="3E26E65B" w14:textId="77777777" w:rsidR="00472341" w:rsidRDefault="00000000">
            <w:pPr>
              <w:spacing w:after="0"/>
            </w:pPr>
            <w:r>
              <w:rPr>
                <w:color w:val="000000"/>
                <w:sz w:val="16"/>
              </w:rPr>
              <w:t>▸  Unattributed-webhook platform signal</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p w14:paraId="6A0B4D7F" w14:textId="77777777" w:rsidR="00472341" w:rsidRDefault="00000000">
            <w:pPr>
              <w:spacing w:after="20"/>
              <w:ind w:left="86" w:hanging="86"/>
            </w:pPr>
            <w:r>
              <w:rPr>
                <w:sz w:val="16"/>
              </w:rPr>
              <w:t>• The school estate list validates its filters and then returns a hardcoded empty body, so a caller cannot tell an unbuilt endpoint from an empty estate. The landing screen's own school count is separate and works. Build the items or withdraw the route.</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t>Authentication, invitations, account security, sessions, platform staff, and organization-position structures. Invitation and password-reset links are request-bound. Account creation now applies the same restricted-role grant ceiling as the dedicated assignment endpoints, so creating a colleague cannot be used as a quieter route to hand out authority the creator does not hold.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expiry, and token rotation</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Tenant and role-grant boundaries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Pending password-reset queue, tenant-named and tenant-filterable</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 Platform-only scope is enforced independently from restricted sensitivity. Restricted keys cannot enter direct role writes, groups, or ALLOW overrides; they enter a custom role only through a change request decided by a different reviewer who already holds every restricted key being granted. Branch reach remains grant-derived, and one person may hold the same role at more than one branch.</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p w14:paraId="27F916CD" w14:textId="77777777" w:rsidR="00472341" w:rsidRDefault="00000000">
            <w:pPr>
              <w:spacing w:after="20"/>
              <w:ind w:left="86" w:hanging="86"/>
            </w:pPr>
            <w:r>
              <w:rPr>
                <w:sz w:val="16"/>
              </w:rPr>
              <w:t>• Two role-grant escalations are closed at their source. Scope refuses a tenant carrying a platform-only key. Separately, a restricted key is refused on direct role writes, in permission groups, and as an ALLOW override; it may enter a custom role only through a change request decided by somebody other than the requester, and that reviewer may grant only restricted keys they already hold. Existing unverified restricted grants are removed from custom roles by migration, while trusted seeded system roles remain as the approval bootstrap.</w:t>
            </w:r>
          </w:p>
          <w:p w14:paraId="27F916CD" w14:textId="77777777" w:rsidR="00472341" w:rsidRDefault="00000000">
            <w:pPr>
              <w:spacing w:after="20"/>
              <w:ind w:left="86" w:hanging="86"/>
            </w:pPr>
            <w:r>
              <w:rPr>
                <w:sz w:val="16"/>
              </w:rPr>
              <w:t>• A role granted for the whole school now reaches the whole school. The branch narrowing and the permission gate are resolved from the same grants, so a Finance Officer for the whole school is no longer narrowed to the one site her staff record happens to name while the gate lets her act at the others. Writes follow reads: what she raises without naming a branch is filed school-wide.</w:t>
            </w:r>
          </w:p>
          <w:p w14:paraId="27F916CD" w14:textId="77777777" w:rsidR="00472341" w:rsidRDefault="00000000">
            <w:pPr>
              <w:spacing w:after="20"/>
              <w:ind w:left="86" w:hanging="86"/>
            </w:pPr>
            <w:r>
              <w:rPr>
                <w:sz w:val="16"/>
              </w:rPr>
              <w:t>• The same role may now be granted at two branches. The schema always allowed it and both write paths refused it, so a teacher working at two sites could hold the role at one. Every count that reads assignments counts people rather than grant rows.</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p w14:paraId="35220B93" w14:textId="77777777" w:rsidR="00472341" w:rsidRDefault="00000000">
            <w:pPr>
              <w:spacing w:after="20"/>
              <w:ind w:left="86" w:hanging="86"/>
            </w:pPr>
            <w:r>
              <w:rPr>
                <w:sz w:val="16"/>
              </w:rPr>
              <w:t>• Branch scope resolution now answers for writes as well as reads. A named ?branch= is checked against the caller's own grants at the one lookup every configuration view passes through, so a configuration administrator pinned to one site can no longer set another site's values, and a holder of a school-wide configuration role may set them at every branch.</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A stage nobody can approve parks rather than auto-skipping, by default and not only where a seed remembered to say so.</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t>Event-driven in-app and email delivery. One-time invitation and reset credentials are replaced only in the delivery worker, so notification records retain a marker rather than the raw secret.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Secret-safe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Importance-aware background completion policy</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Background rollback execution</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notifications</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audit events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dataset a school may import for itself exists yet. Students, staff and parents have no template and no model, so the school-facing import screen shows an empty table. The onboarding checklist step it serves is optional, so readiness and go-live are not blocked.</w:t>
            </w:r>
          </w:p>
          <w:p w14:paraId="38D7D122" w14:textId="77777777" w:rsidR="00472341" w:rsidRDefault="00000000">
            <w:pPr>
              <w:spacing w:after="20"/>
              <w:ind w:left="86" w:hanging="86"/>
            </w:pPr>
            <w:r>
              <w:rPr>
                <w:sz w:val="16"/>
              </w:rPr>
              <w:t>• Import notifications are the module's own rows and are not dispatched through Module 8. There is no email, no bell entry and no delivery record, and the feed requires a platform key, so the school administrator who started an import cannot read the notice about it.</w:t>
            </w:r>
          </w:p>
          <w:p w14:paraId="38D7D122" w14:textId="77777777" w:rsidR="00472341" w:rsidRDefault="00000000">
            <w:pPr>
              <w:spacing w:after="20"/>
              <w:ind w:left="86" w:hanging="86"/>
            </w:pPr>
            <w:r>
              <w:rPr>
                <w:sz w:val="16"/>
              </w:rPr>
              <w:t>• A run cannot be stopped once it has started. Cancellation covers only the statuses before execution and the row loop checks nothing, so a long import of a wrong file must finish and then be rolled back.</w:t>
            </w:r>
          </w:p>
          <w:p w14:paraId="38D7D122" w14:textId="77777777" w:rsidR="00472341" w:rsidRDefault="00000000">
            <w:pPr>
              <w:spacing w:after="20"/>
              <w:ind w:left="86" w:hanging="86"/>
            </w:pPr>
            <w:r>
              <w:rPr>
                <w:sz w:val="16"/>
              </w:rPr>
              <w:t>• Execution reads the batch's stored preview rows with no streaming path, so the practical file size is bounded by one JSON column and one in-memory list. No limit is stated or enforced.</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Every branch-bearing ledger list, summary and detail read narrows to the caller's branches, and a document is stamped with the branch it was raised at. The trial balance, income statement and balance sheet are not narrowed: they aggregate through several relation paths and were left for their own design round.</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p w14:paraId="502C2918" w14:textId="77777777" w:rsidR="00472341" w:rsidRDefault="00000000">
            <w:pPr>
              <w:spacing w:after="20"/>
              <w:ind w:left="86" w:hanging="86"/>
            </w:pPr>
            <w:r>
              <w:rPr>
                <w:sz w:val="16"/>
              </w:rPr>
              <w:t>• A requisition raised by a holder of a school-wide role who names no branch is filed school-wide, and school-wide spend is deliberately hidden from branch-pinned staff. That is the intended reading of a purchase for the school as a whole, and it means such a requisition does not appear on the raiser's own branch queue.</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Branch scoping of the purchase chain is finished. A purchase order, goods receipt, vendor bill and vendor payment each carry the branch they were raised at or inherit it from the document they continue, every list, queue and summary narrows to the caller's branches, and a branch-bound caller can neither settle nor read another site's bill.</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privacy-safe guide-to-support context, and dimensionless how-to analytics for platform editorial review.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t>▸  Privacy-safe guide engagement and search-gap event intake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t>▸  Platform guide-editor aggregates, scoped ingestion limits, and 180-day retention</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 narrowing on the financial statements</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Procurement, stock and the finance ledgers now narrow to the caller's branches, and documents are stamped with the branch they were raised at. The trial balance, income statement and balance sheet were deliberately left out because they aggregate ledger lines through several relation paths and need their own design round, so a branch-bound bursar still reads the whole entity's position. Narrow them, or record that a statement is an entity-level report by definition.</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M19, M4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v2.31 Documentation Delta</w:t>
      </w:r>
    </w:p>
    <w:p w14:paraId="4C4A5E5A" w14:textId="77777777" w:rsidR="00472341" w:rsidRDefault="00000000">
      <w:pPr>
        <w:spacing w:after="100" w:line="240" w:lineRule="auto" w:before="0"/>
      </w:pPr>
      <w:r>
        <w:t>This revision closes the approval engine's last unsafe default and removes a submission route that never checked whose document it was given. Both are Module 7. The engine is otherwise unchanged: same capabilities, same Complete status, no new dependency and no change to who may approve what.</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v2.31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unstaffed stage auto-skipped by default</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Inverted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skip_if_no_approvers defaulted to True on the model and the publish service, so a ladder republished without the field could pass spend through unapproved. Both now default to False. Existing stages are untouched. Migration vs_workflow.0010.</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Any tenant's document could be submitted</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removed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generic submit endpoint loaded a document by content type and primary key with no tenant filter, and the instance was filed under the document's tenant. Removed; submission runs through each module's own scoped endpoint and the shared service refuses another tenant's document.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permission key that gated nothing</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Retired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workflow.instance.submit existed only for that route. Its grants and per-user overrides are cleared and the key dropped, kept deactivated where an approval record still references it. Migration vs_workflow.0009.</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fail closed, and the engine's auto-skip default is now inverted, so a template published without setting it parks rather than passing a request through unapproved.</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and stock to the academic foundation. Branch scoping of procurement and the finance ledgers is done; what is left there is the financial statements.</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Closes the approval engine's unsafe default, carried as a P1 against Module 7 since v2.9. A stage published without skip_if_no_approvers auto-skipped when nobody could approve it, so the money ladders were safe only because each seed set the flag by hand. That mattered more than it read: a tenant may publish its own full version of a central ladder, and an editor changing one threshold does not resend the fields it is not changing, so a payout ladder could quietly become one that dispatched unapproved. The default is now False on both the model and the publish service; an unstaffed stage parks and auto-skipping must be asked for by name. Existing stages are untouched. Also removes the engine's generic submit route, which loaded a document by content type and primary key with no tenant filter, and the permission key that gated it; submission now refuses a document belonging to another tenant. Module 7 keeps its capability entries and Complete status; the P1 leaves Priority Gaps and the recommended build order. Reconciled to Workflow FRD v1.5.</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2.30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 import rollback and gave it a background path. Reversal read the recorded primary key and assumed every one of them named a School: branch, user and school ids are three independent sequences through the same integers, so rolling back a four-row branches import left the branches in place, deleted whichever schools held ids 9 to 12, and stamped the job rolled back successfully. Reversal is now dispatched on the row's target model through a registry that refuses an unregistered model and refuses a row that only updated a record; each reverser locks its target and re-checks the slug, branch name or email the row recorded before deleting anything; and branch ownership is checked against the school the row named rather than the batch's tenant, which is always CodeX for these datasets. A school rollback now removes the tenant, and refuses the moment that tenant holds anything school creation did not write, including any account that has ever signed in. Rollbacks report per row rather than as a count: anything short of a full reversal leaves the job partially rolled back, names the rows it could not reverse, and can be retried once the blocker is cleared. Past fifty reversible rows the work moves to a tracked background job, which also fixes a latent break in that task, and admin contact cards left pointing at nothing are swept with the record. Module 10 gains one capability and the document moves from 449 to 450 entries. Module 10 stays Backend Complete and Integration Complete, and its clean bill is replaced by four needs-attention items found while writing its first FRD, none of them a new defect: no dataset a school may import for itself, import notices that never reach Module 8, a run that cannot be stopped once started, and an unbounded file size. No priority gap or build order changed. Module 10 gains its first FRD at v1.0.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restricted-permission self-grant path. Ordinary role changes remain direct, but restricted additions now require TenantRoleChangeRequest, the separate school.roles.approve or platform.roles.approve key, a reviewer other than the requester, and a ceiling that permits only restricted keys the reviewer already holds. Direct role writes, permission groups and ALLOW overrides cannot introduce restricted keys; assignment, replacement, account creation and draft submission enforce the same ceiling. Migration 0009 removes unverified restricted grants from custom roles, groups and ALLOW overrides while preserving seeded system-role bootstrap grants. Module 4 remains Complete and Module 3 remains Partial on MFA and tenant lifecycle. The document stays at 449 capabilities, with priorities and build order unchanged. Reconciled to RBAC FRD v1.3 and Identity FRD v1.4.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old password-reset link revival defect. Invitations and resets now issue separate token families, store only keyed SHA-256 digests on their owning rows, resolve preview and confirmation to that exact row, and consume under a row lock. A newer request or invitation resend kills the older URL, and a token cannot cross from invitation to reset. Notification history stores a marker rather than a live credential; the raw value is substituted only inside the delivery worker immediately before SMTP. The migration preserves existing invitation links and consumes legacy reset rows that could not be bound safely. Module 3 remains Backend Partial and Integration Partial on MFA and tenant lifecycle; Module 8 remains Complete. Capability counts, priorities, and build order are unchanged at 449 entries. Reconciled to Identity FRD v1.3 and Notifications FRD v1.2.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31's privacy-safe how-to editorial loop. Active users can emit only closed guide and walkthrough event shapes; no-result search text is reduced before storage; raw events carry no tenant, actor, record, or arbitrary metadata dimension; aggregate summaries require platform.health.view and never return raw rows or a tenant split; and events expire after 180 days. Added a 120-per-minute authenticated-user throttle to ingestion so a faulty client or deliberate script cannot flood the table or dominate counts. Module 31 gains two capabilities and the document moves from 447 to 449 entries. No module state, ownership, priority gap, or build order changed. Reconciled to Support FRD v1.2.</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Records the sweep of the School &amp; Branch Management defect report of 13 August. Eleven items were re-checked against the current code and seven were already closed, including both blockers - a phantom school field used to write and read module entitlements, which raised on every school created with a package and on every subsequent read of one, and a leftover debug handler that turned an unknown school slug into a 500 - and two items that described FRD text no longer present. Four were still open, and all four were rules Module 1 documented and did not keep. A package plan's branch ceiling was stored, seeded and shown on the plans screen while no creation path read it. A configuration reset accepted any non-empty confirmation token, so an operator could delete the wrong school's branding with nothing in the request naming the school. An administrator named at two branches in one request was granted at one of them. And an update validated the whole row after a partial change, so a column left blank by another path refused an unrelated edit - permanently, on the school endpoint, because the field in question is not writable there. All four are closed and covered by tests. No module status, integration state, capability entry, capability count, ownership, dependency or priority gap moves: Module 1 stays Backend Partial and Integration Partial on school lifecycle control, which none of this touches, and its two Needs Attention items - the commercial lifecycle and closed-branch access rules - stand exactly as v2.25 issued them. The reset and admin-provisioning fixes each close half of a Module 1 gap and the surviving halves are named rather than implied, in FRD M01 v1.13. Minor rather than patch, because documented limitations were withdrawn on evidence. Section 5 is replaced rather than carried forward. Reconciled to FRD M01 v1.13.</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a role granted for the whole school mean the whole school, and let the same role be held at two branches. The branch narrowing returned one answer for a whole-tenant grant and for no grants at all, so both fell through to the branch on the holder's staff record. A Finance Officer for the whole school whose record named Ikeja saw Ikeja; a colleague holding the identical grant with a blank record saw every branch. The permission gate never agreed with either reading - it has always matched a whole-tenant grant against any named branch and has never read that column - so she was permitted to approve documents her own lists refused to show her. There are now three outcomes rather than two, with 'no grants' carrying a value of its own. Writes widen with reads and that is the decision, not a side effect: a school-wide holder who names no branch files school-wide, procurement deliberately hides school-wide spend from branch-pinned staff, and she gains configuration write access at every branch, all of which follow from the grant deciding rather than from whether an unrelated field was filled in. Separately, the same role can now be granted at two branches. The schema has always allowed it through two split partial unique constraints and both write paths refused it, so somebody teaching at two sites could hold the role at one; the rule now lives once beside the constraints and both paths ask it, and the refusal names the branch. Four counts that read grant rows as people are corrected with it, the worst of them silent: the workflow role-coverage report warns where only one person holds an approving role, because that person cannot approve their own request, and a sole holder at two branches read as two so the warning stopped firing. The P1 branch-scoping gap against Modules 22 to 24 is resolved - purchase documents carry the branch they were raised at, every list, queue and summary narrows, and stock is held per location - and is replaced by a P2 against the financial statements, which were deliberately left unnarrowed. Modules 4, 6, 19, 22 and 23 have their notes restated; no module backend or integration state, ownership or capability count changed, and the document stays at 31 modules and 447 capability entries. Module 4's FRD advances to v1.2, Module 1's to v1.12, Module 3's to v1.2, Module 7's to v1.3, Module 22's to v1.2, Module 23's to v1.4 and Module 31's to v1.1 in step. This is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the platform ownership of provider webhooks that belong to no tenant. The tenant scoping recorded in v2.22 was correct and left a hole underneath it: a webhook reaches a tenant only through its collection or payout side, both nullable, so an event attached to neither passed no filter and was counted for no one, CodeX included. A broken signature check or a flood of garbage at the endpoint produces exactly that shape, and it went from visible to every tenant to visible to none, which is the worse of the two. The console now carries unattributed_webhook_failures_24h for a caller whose asserted tenant is the platform one. It is deliberately not the exemption v2.22 removed: it selects rows attached to neither side rather than widening a platform caller's count to everything, and a test holds that difference so a later relaxation fails rather than passes. Module 2 gains one capability and the document moves from 446 to 447 entries. No module state, ownership, priority gap or build order changed.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Separated View Queues from bell importance. Routine email and system jobs remain tracked but no longer create generic completion alerts; imports keep their shared result notice; exports keep only their domain-specific ready or failed event and email. Module 8 gains one capability and the document moves from 445 to 446 entries. No module state, ownership,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Closed two cross-tenant reads, neither of them a listed gap. Both were the same mistake twice: a query deciding tenant visibility by itself, next to a permission check that made it look guarded. First, the finance entity list exempted a platform caller from its tenant filter while resolve_entity, which every entity-scoped endpoint uses, exempted nobody. The console listed every school's set of books and then refused to open any of them, so the visible symptom was a broken picker rather than the disclosure underneath it. One function now answers for both, and the rule it states is that scope follows the asserted tenant alone: reading another tenant's ledger is done by proxying a user who holds the finance key there, so the books are always read as someone entitled to them and the act is attributable. A test asserting that platform staff see every entity had been holding the old behaviour in place and now asserts the rule. Second, nine counts on the console overview carried their permission gate without a tenant filter, across finance, procurement and payments; the fiscal-runway signal returned a name, so a school's dashboard could report a different school's fiscal position. The endpoint's own docstring promised that a section the caller cannot fetch directly is omitted rather than leaked, and these nine broke that promise. Scoping the webhook count leaves events attached to no collection or payout counted for nobody, which is deliberate rather than overlooked. Module numbering, the status model, every backend and integration state, every ownership entry, the priority gaps and the build order are unchanged, and the document stays at 31 modules and 445 capability entries. Module 19's FRD advances to v1.3 in step, and Module 2 gains its first FRD at v1.0, whose writing surfaced an unrecorded gap: the school estate list validates its filters and returns a hardcoded empty body. Module 2 stays Backend Complete and carries the defect in its needs-attention note.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Repaired a security queue that had never returned anything, and corrected the empty-list response shape every module shares. The pending password-reset list answered HTTP 500 to every caller from the day it shipped, because the view called the success envelope without the message argument it required. Fixing that exposed the wider fault: the envelope turned an empty list into an object, so the no-rows case of every non-paginated list endpoint returned a shape its callers could not iterate, and the console crashed on the first screen to meet one. The message is now optional and an empty list stays a list. The queue also names the tenant on every row and narrows to one on request, and two school profile permission keys that sat in no group were placed in the catalogue.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Document-only patch. Retired the word campus from the text describing current behaviour, in favour of branch. Campus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v2.30</dc:title>
  <dc:subject>31-module code-aligned capability tracker</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2.28</cp:version>
</cp:coreProperties>
</file>