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2.5.1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2.5.1</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11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backend codebase at e60d944ac7ffbfaecc472d8e79ac47d62580968a (11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A4EB30C" w14:textId="77777777" w:rsidR="00472341" w:rsidRDefault="00000000">
            <w:pPr>
              <w:spacing w:after="0" w:before="0" w:line="240" w:lineRule="auto"/>
              <w:jc w:val="left"/>
            </w:pPr>
            <w:r>
              <w:rPr>
                <w:rFonts w:ascii="Aptos Narrow" w:hAnsi="Aptos Narrow"/>
                <w:b w:val="0"/>
                <w:color w:val="000000"/>
                <w:sz w:val="17"/>
              </w:rPr>
              <w:t>384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w:t>
            </w:r>
            <w:proofErr w:type="gramStart"/>
            <w:r>
              <w:rPr>
                <w:sz w:val="16"/>
              </w:rPr>
              <w:t>backend-complete</w:t>
            </w:r>
            <w:proofErr w:type="gramEnd"/>
            <w:r>
              <w:rPr>
                <w:sz w:val="16"/>
              </w:rPr>
              <w:t>.</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355B9D"/>
                <w:sz w:val="17"/>
              </w:rPr>
              <w:t>5. v2.5.1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Terminology, organization, metadata, and presentation corrections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15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15</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18</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12</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14</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12</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18EEAC2" w14:textId="77777777" w:rsidR="00472341" w:rsidRDefault="00000000">
            <w:pPr>
              <w:spacing w:after="0"/>
              <w:jc w:val="center"/>
            </w:pPr>
            <w:r>
              <w:rPr>
                <w:color w:val="000000"/>
                <w:sz w:val="14"/>
              </w:rPr>
              <w:t>10</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4D849F52" w14:textId="77777777" w:rsidR="00472341" w:rsidRDefault="00000000">
            <w:pPr>
              <w:spacing w:after="20"/>
              <w:ind w:left="86" w:hanging="86"/>
            </w:pPr>
            <w:r>
              <w:rPr>
                <w:sz w:val="16"/>
              </w:rPr>
              <w:t>• Fix branch lifecycle transitions: the current save call references a deleted_at field that Branch does not define.</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RBAC and organogram approvers, branching rules, delegations, actions, and operational queues.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gridSpan w:val="2"/>
            <w:shd w:val="clear" w:color="auto" w:fill="FFFFFF"/>
            <w:tcMar>
              <w:top w:w="70" w:type="dxa"/>
              <w:left w:w="90" w:type="dxa"/>
              <w:bottom w:w="70" w:type="dxa"/>
              <w:right w:w="90" w:type="dxa"/>
            </w:tcMar>
            <w:vAlign w:val="center"/>
          </w:tcPr>
          <w:p w14:paraId="206CA97D" w14:textId="77777777" w:rsidR="00472341" w:rsidRDefault="00000000">
            <w:pPr>
              <w:spacing w:after="0"/>
            </w:pPr>
            <w:r>
              <w:rPr>
                <w:color w:val="000000"/>
                <w:sz w:val="16"/>
              </w:rPr>
              <w:t>▸  Conditional routing and branch paths</w:t>
            </w:r>
          </w:p>
        </w:tc>
      </w:tr>
      <w:tr w:rsidR="00472341" w14:paraId="69B5B8B1" w14:textId="77777777">
        <w:trPr>
          <w:cantSplit/>
          <w:jc w:val="center"/>
        </w:trPr>
        <w:tc>
          <w:tcPr>
            <w:tcW w:w="5126" w:type="dxa"/>
            <w:shd w:val="clear" w:color="auto" w:fill="F2F5FA"/>
            <w:tcMar>
              <w:top w:w="70" w:type="dxa"/>
              <w:left w:w="90" w:type="dxa"/>
              <w:bottom w:w="70" w:type="dxa"/>
              <w:right w:w="90" w:type="dxa"/>
            </w:tcMar>
            <w:vAlign w:val="center"/>
          </w:tcPr>
          <w:p w14:paraId="66E0A7AB" w14:textId="77777777" w:rsidR="00472341" w:rsidRDefault="00000000">
            <w:pPr>
              <w:spacing w:after="0"/>
            </w:pPr>
            <w:r>
              <w:rPr>
                <w:color w:val="000000"/>
                <w:sz w:val="16"/>
              </w:rPr>
              <w:t>▸  Any, quorum, and unanimous approval modes</w:t>
            </w:r>
          </w:p>
        </w:tc>
        <w:tc>
          <w:tcPr>
            <w:tcW w:w="5126" w:type="dxa"/>
            <w:gridSpan w:val="2"/>
            <w:shd w:val="clear" w:color="auto" w:fill="F2F5FA"/>
            <w:tcMar>
              <w:top w:w="70" w:type="dxa"/>
              <w:left w:w="90" w:type="dxa"/>
              <w:bottom w:w="70" w:type="dxa"/>
              <w:right w:w="90" w:type="dxa"/>
            </w:tcMar>
            <w:vAlign w:val="center"/>
          </w:tcPr>
          <w:p w14:paraId="538D2AF4" w14:textId="77777777" w:rsidR="00472341" w:rsidRDefault="00000000">
            <w:pPr>
              <w:spacing w:after="0"/>
            </w:pPr>
            <w:r>
              <w:rPr>
                <w:color w:val="000000"/>
                <w:sz w:val="16"/>
              </w:rPr>
              <w:t>▸  RBAC-based approver resolution</w:t>
            </w:r>
          </w:p>
        </w:tc>
      </w:tr>
      <w:tr w:rsidR="00472341" w14:paraId="5C71C30D" w14:textId="77777777">
        <w:trPr>
          <w:cantSplit/>
          <w:jc w:val="center"/>
        </w:trPr>
        <w:tc>
          <w:tcPr>
            <w:tcW w:w="5126" w:type="dxa"/>
            <w:shd w:val="clear" w:color="auto" w:fill="FFFFFF"/>
            <w:tcMar>
              <w:top w:w="70" w:type="dxa"/>
              <w:left w:w="90" w:type="dxa"/>
              <w:bottom w:w="70" w:type="dxa"/>
              <w:right w:w="90" w:type="dxa"/>
            </w:tcMar>
            <w:vAlign w:val="center"/>
          </w:tcPr>
          <w:p w14:paraId="7B7B4746" w14:textId="77777777" w:rsidR="00472341" w:rsidRDefault="00000000">
            <w:pPr>
              <w:spacing w:after="0"/>
            </w:pPr>
            <w:r>
              <w:rPr>
                <w:color w:val="000000"/>
                <w:sz w:val="16"/>
              </w:rPr>
              <w:t>▸  Organogram-based approver resolution</w:t>
            </w:r>
          </w:p>
        </w:tc>
        <w:tc>
          <w:tcPr>
            <w:tcW w:w="5126" w:type="dxa"/>
            <w:gridSpan w:val="2"/>
            <w:shd w:val="clear" w:color="auto" w:fill="FFFFFF"/>
            <w:tcMar>
              <w:top w:w="70" w:type="dxa"/>
              <w:left w:w="90" w:type="dxa"/>
              <w:bottom w:w="70" w:type="dxa"/>
              <w:right w:w="90" w:type="dxa"/>
            </w:tcMar>
            <w:vAlign w:val="center"/>
          </w:tcPr>
          <w:p w14:paraId="436A34A0" w14:textId="77777777" w:rsidR="00472341" w:rsidRDefault="00000000">
            <w:pPr>
              <w:spacing w:after="0"/>
            </w:pPr>
            <w:r>
              <w:rPr>
                <w:color w:val="000000"/>
                <w:sz w:val="16"/>
              </w:rPr>
              <w:t>▸  Entity and branch scope context</w:t>
            </w:r>
          </w:p>
        </w:tc>
      </w:tr>
      <w:tr w:rsidR="00472341" w14:paraId="18D22970" w14:textId="77777777">
        <w:trPr>
          <w:cantSplit/>
          <w:jc w:val="center"/>
        </w:trPr>
        <w:tc>
          <w:tcPr>
            <w:tcW w:w="5126" w:type="dxa"/>
            <w:shd w:val="clear" w:color="auto" w:fill="F2F5FA"/>
            <w:tcMar>
              <w:top w:w="70" w:type="dxa"/>
              <w:left w:w="90" w:type="dxa"/>
              <w:bottom w:w="70" w:type="dxa"/>
              <w:right w:w="90" w:type="dxa"/>
            </w:tcMar>
            <w:vAlign w:val="center"/>
          </w:tcPr>
          <w:p w14:paraId="1354BD44" w14:textId="77777777" w:rsidR="00472341" w:rsidRDefault="00000000">
            <w:pPr>
              <w:spacing w:after="0"/>
            </w:pPr>
            <w:r>
              <w:rPr>
                <w:color w:val="000000"/>
                <w:sz w:val="16"/>
              </w:rPr>
              <w:t>▸  Submit, approve, reject, return, cancel, and resubmit</w:t>
            </w:r>
          </w:p>
        </w:tc>
        <w:tc>
          <w:tcPr>
            <w:tcW w:w="5126" w:type="dxa"/>
            <w:gridSpan w:val="2"/>
            <w:shd w:val="clear" w:color="auto" w:fill="F2F5FA"/>
            <w:tcMar>
              <w:top w:w="70" w:type="dxa"/>
              <w:left w:w="90" w:type="dxa"/>
              <w:bottom w:w="70" w:type="dxa"/>
              <w:right w:w="90" w:type="dxa"/>
            </w:tcMar>
            <w:vAlign w:val="center"/>
          </w:tcPr>
          <w:p w14:paraId="34ED90A0" w14:textId="77777777" w:rsidR="00472341" w:rsidRDefault="00000000">
            <w:pPr>
              <w:spacing w:after="0"/>
            </w:pPr>
            <w:r>
              <w:rPr>
                <w:color w:val="000000"/>
                <w:sz w:val="16"/>
              </w:rPr>
              <w:t>▸  No-approver handling policy</w:t>
            </w:r>
          </w:p>
        </w:tc>
      </w:tr>
      <w:tr w:rsidR="00472341" w14:paraId="27B8C63A" w14:textId="77777777">
        <w:trPr>
          <w:cantSplit/>
          <w:jc w:val="center"/>
        </w:trPr>
        <w:tc>
          <w:tcPr>
            <w:tcW w:w="5126" w:type="dxa"/>
            <w:shd w:val="clear" w:color="auto" w:fill="FFFFFF"/>
            <w:tcMar>
              <w:top w:w="70" w:type="dxa"/>
              <w:left w:w="90" w:type="dxa"/>
              <w:bottom w:w="70" w:type="dxa"/>
              <w:right w:w="90" w:type="dxa"/>
            </w:tcMar>
            <w:vAlign w:val="center"/>
          </w:tcPr>
          <w:p w14:paraId="518C62F6" w14:textId="77777777" w:rsidR="00472341" w:rsidRDefault="00000000">
            <w:pPr>
              <w:spacing w:after="0"/>
            </w:pPr>
            <w:r>
              <w:rPr>
                <w:color w:val="000000"/>
                <w:sz w:val="16"/>
              </w:rPr>
              <w:t>▸  Action reversal and decision history</w:t>
            </w:r>
          </w:p>
        </w:tc>
        <w:tc>
          <w:tcPr>
            <w:tcW w:w="5126" w:type="dxa"/>
            <w:gridSpan w:val="2"/>
            <w:shd w:val="clear" w:color="auto" w:fill="FFFFFF"/>
            <w:tcMar>
              <w:top w:w="70" w:type="dxa"/>
              <w:left w:w="90" w:type="dxa"/>
              <w:bottom w:w="70" w:type="dxa"/>
              <w:right w:w="90" w:type="dxa"/>
            </w:tcMar>
            <w:vAlign w:val="center"/>
          </w:tcPr>
          <w:p w14:paraId="11BD56D4" w14:textId="77777777" w:rsidR="00472341" w:rsidRDefault="00000000">
            <w:pPr>
              <w:spacing w:after="0"/>
            </w:pPr>
            <w:r>
              <w:rPr>
                <w:color w:val="000000"/>
                <w:sz w:val="16"/>
              </w:rPr>
              <w:t>▸  Approval delegation</w:t>
            </w:r>
          </w:p>
        </w:tc>
      </w:tr>
      <w:tr w:rsidR="00472341" w14:paraId="71CF06B7" w14:textId="77777777">
        <w:trPr>
          <w:cantSplit/>
          <w:jc w:val="center"/>
        </w:trPr>
        <w:tc>
          <w:tcPr>
            <w:tcW w:w="5126" w:type="dxa"/>
            <w:shd w:val="clear" w:color="auto" w:fill="F2F5FA"/>
            <w:tcMar>
              <w:top w:w="70" w:type="dxa"/>
              <w:left w:w="90" w:type="dxa"/>
              <w:bottom w:w="70" w:type="dxa"/>
              <w:right w:w="90" w:type="dxa"/>
            </w:tcMar>
            <w:vAlign w:val="center"/>
          </w:tcPr>
          <w:p w14:paraId="76997649" w14:textId="77777777" w:rsidR="00472341" w:rsidRDefault="00000000">
            <w:pPr>
              <w:spacing w:after="0"/>
            </w:pPr>
            <w:r>
              <w:rPr>
                <w:color w:val="000000"/>
                <w:sz w:val="16"/>
              </w:rPr>
              <w:t>▸  Pending, submitted, and team-load dashboards</w:t>
            </w:r>
          </w:p>
        </w:tc>
        <w:tc>
          <w:tcPr>
            <w:tcW w:w="5126" w:type="dxa"/>
            <w:gridSpan w:val="2"/>
            <w:shd w:val="clear" w:color="auto" w:fill="F2F5FA"/>
            <w:tcMar>
              <w:top w:w="70" w:type="dxa"/>
              <w:left w:w="90" w:type="dxa"/>
              <w:bottom w:w="70" w:type="dxa"/>
              <w:right w:w="90" w:type="dxa"/>
            </w:tcMar>
            <w:vAlign w:val="center"/>
          </w:tcPr>
          <w:p w14:paraId="785BB8D7" w14:textId="77777777" w:rsidR="00472341" w:rsidRDefault="00000000">
            <w:pPr>
              <w:spacing w:after="0"/>
            </w:pPr>
            <w:r>
              <w:rPr>
                <w:color w:val="000000"/>
                <w:sz w:val="16"/>
              </w:rPr>
              <w:t>▸  Workflow notifications</w:t>
            </w:r>
          </w:p>
        </w:tc>
      </w:tr>
      <w:tr w:rsidR="00472341" w14:paraId="413474F3" w14:textId="77777777">
        <w:trPr>
          <w:cantSplit/>
          <w:jc w:val="center"/>
        </w:trPr>
        <w:tc>
          <w:tcPr>
            <w:tcW w:w="5126" w:type="dxa"/>
            <w:shd w:val="clear" w:color="auto" w:fill="FFFFFF"/>
            <w:tcMar>
              <w:top w:w="70" w:type="dxa"/>
              <w:left w:w="90" w:type="dxa"/>
              <w:bottom w:w="70" w:type="dxa"/>
              <w:right w:w="90" w:type="dxa"/>
            </w:tcMar>
            <w:vAlign w:val="center"/>
          </w:tcPr>
          <w:p w14:paraId="2E418900" w14:textId="77777777" w:rsidR="00472341" w:rsidRDefault="00000000">
            <w:pPr>
              <w:spacing w:after="0"/>
            </w:pPr>
            <w:r>
              <w:rPr>
                <w:color w:val="000000"/>
                <w:sz w:val="16"/>
              </w:rPr>
              <w:t>▸  Finance workflow handlers</w:t>
            </w:r>
          </w:p>
        </w:tc>
        <w:tc>
          <w:tcPr>
            <w:tcW w:w="5126" w:type="dxa"/>
            <w:gridSpan w:val="2"/>
            <w:shd w:val="clear" w:color="auto" w:fill="FFFFFF"/>
            <w:tcMar>
              <w:top w:w="70" w:type="dxa"/>
              <w:left w:w="90" w:type="dxa"/>
              <w:bottom w:w="70" w:type="dxa"/>
              <w:right w:w="90" w:type="dxa"/>
            </w:tcMar>
            <w:vAlign w:val="center"/>
          </w:tcPr>
          <w:p w14:paraId="23319BD8" w14:textId="77777777" w:rsidR="00472341" w:rsidRDefault="00000000">
            <w:pPr>
              <w:spacing w:after="0"/>
            </w:pPr>
            <w:r>
              <w:rPr>
                <w:color w:val="000000"/>
                <w:sz w:val="16"/>
              </w:rPr>
              <w:t>▸  Procurement workflow handlers</w:t>
            </w:r>
          </w:p>
        </w:tc>
      </w:tr>
      <w:tr w:rsidR="00472341" w14:paraId="37FDD677" w14:textId="77777777">
        <w:trPr>
          <w:cantSplit/>
          <w:jc w:val="center"/>
        </w:trPr>
        <w:tc>
          <w:tcPr>
            <w:tcW w:w="5126" w:type="dxa"/>
            <w:shd w:val="clear" w:color="auto" w:fill="F2F5FA"/>
            <w:tcMar>
              <w:top w:w="70" w:type="dxa"/>
              <w:left w:w="90" w:type="dxa"/>
              <w:bottom w:w="70" w:type="dxa"/>
              <w:right w:w="90" w:type="dxa"/>
            </w:tcMar>
            <w:vAlign w:val="center"/>
          </w:tcPr>
          <w:p w14:paraId="1477730F" w14:textId="77777777" w:rsidR="00472341" w:rsidRDefault="00000000">
            <w:pPr>
              <w:spacing w:after="0"/>
            </w:pPr>
            <w:r>
              <w:rPr>
                <w:color w:val="000000"/>
                <w:sz w:val="16"/>
              </w:rPr>
              <w:t>▸  Payment and payout workflow handlers</w:t>
            </w:r>
          </w:p>
        </w:tc>
        <w:tc>
          <w:tcPr>
            <w:tcW w:w="5126" w:type="dxa"/>
            <w:gridSpan w:val="2"/>
            <w:shd w:val="clear" w:color="auto" w:fill="F2F5FA"/>
            <w:tcMar>
              <w:top w:w="70" w:type="dxa"/>
              <w:left w:w="90" w:type="dxa"/>
              <w:bottom w:w="70" w:type="dxa"/>
              <w:right w:w="90" w:type="dxa"/>
            </w:tcMar>
            <w:vAlign w:val="center"/>
          </w:tcPr>
          <w:p w14:paraId="4585C5B0" w14:textId="77777777" w:rsidR="00472341" w:rsidRDefault="00472341">
            <w:pPr>
              <w:spacing w:after="0"/>
            </w:pP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3B9D73AC" w14:textId="77777777" w:rsidR="00472341" w:rsidRDefault="00000000">
            <w:pPr>
              <w:spacing w:after="20"/>
              <w:ind w:left="86" w:hanging="86"/>
            </w:pPr>
            <w:r>
              <w:rPr>
                <w:sz w:val="16"/>
              </w:rPr>
              <w:t>• Add an operator queue, replay action, and alerting for failed webhook events.</w:t>
            </w:r>
          </w:p>
          <w:p w14:paraId="226B592A" w14:textId="77777777" w:rsidR="00472341" w:rsidRDefault="00000000">
            <w:pPr>
              <w:spacing w:after="20"/>
              <w:ind w:left="86" w:hanging="86"/>
            </w:pPr>
            <w:r>
              <w:rPr>
                <w:sz w:val="16"/>
              </w:rPr>
              <w:t>• Seed and validate payout-batch approval templates during school onboarding.</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736BF812" w14:textId="77777777" w:rsidR="00472341" w:rsidRDefault="00000000">
            <w:pPr>
              <w:spacing w:after="20"/>
              <w:ind w:left="86" w:hanging="86"/>
            </w:pPr>
            <w:r>
              <w:rPr>
                <w:sz w:val="16"/>
              </w:rPr>
              <w:t>• Correct historical as-of receivables reporting so later allocations do not rewrite earlier-period views.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058D01C" w14:textId="77777777" w:rsidR="00472341" w:rsidRDefault="00000000">
            <w:pPr>
              <w:keepNext/>
              <w:spacing w:after="40"/>
            </w:pPr>
            <w:r>
              <w:rPr>
                <w:b/>
                <w:color w:val="2E5495"/>
                <w:sz w:val="17"/>
              </w:rPr>
              <w:t>NEEDS ATTENTION</w:t>
            </w:r>
          </w:p>
          <w:p w14:paraId="5A349052" w14:textId="77777777" w:rsidR="00472341" w:rsidRDefault="00000000">
            <w:pPr>
              <w:spacing w:after="20"/>
              <w:ind w:left="86" w:hanging="86"/>
            </w:pPr>
            <w:r>
              <w:rPr>
                <w:sz w:val="16"/>
              </w:rPr>
              <w:t>• Complete vendor-prepayment accounting and clearing before advance-payment scenarios are treated as finished.</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Review procurement templates that currently skip stages when no approvers resolve; approval should fail closed for controlled spend.</w:t>
            </w:r>
          </w:p>
          <w:p w14:paraId="502C2918" w14:textId="77777777" w:rsidR="00472341" w:rsidRDefault="00000000">
            <w:pPr>
              <w:spacing w:after="20"/>
              <w:ind w:left="86" w:hanging="86"/>
            </w:pPr>
            <w:r>
              <w:rPr>
                <w:sz w:val="16"/>
              </w:rPr>
              <w:t>• Make default approval templates school and branch aware, then seed them during onboarding.</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rPr>
          <w:color w:val="000000"/>
          <w:sz w:val="17"/>
        </w:rPr>
        <w:t>Tenant-aware support queue with comments, files, assignments, controlled status changes, notifications,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44FFB06" w14:textId="77777777">
        <w:trPr>
          <w:cantSplit/>
          <w:jc w:val="center"/>
        </w:trPr>
        <w:tc>
          <w:tcPr>
            <w:tcW w:w="605" w:type="dxa"/>
            <w:shd w:val="clear" w:color="auto" w:fill="FBF1D7"/>
            <w:tcMar>
              <w:top w:w="70" w:type="dxa"/>
              <w:left w:w="90" w:type="dxa"/>
              <w:bottom w:w="70" w:type="dxa"/>
              <w:right w:w="90" w:type="dxa"/>
            </w:tcMar>
            <w:vAlign w:val="center"/>
          </w:tcPr>
          <w:p w14:paraId="65BF5D9B"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7976FFC3" w14:textId="77777777" w:rsidR="00472341" w:rsidRDefault="00000000">
            <w:pPr>
              <w:spacing w:after="0"/>
            </w:pPr>
            <w:r>
              <w:rPr>
                <w:b/>
                <w:color w:val="2E5495"/>
                <w:sz w:val="15"/>
              </w:rPr>
              <w:t>Branch transition defect</w:t>
            </w:r>
          </w:p>
        </w:tc>
        <w:tc>
          <w:tcPr>
            <w:tcW w:w="6091" w:type="dxa"/>
            <w:shd w:val="clear" w:color="auto" w:fill="FBF1D7"/>
            <w:tcMar>
              <w:top w:w="70" w:type="dxa"/>
              <w:left w:w="90" w:type="dxa"/>
              <w:bottom w:w="70" w:type="dxa"/>
              <w:right w:w="90" w:type="dxa"/>
            </w:tcMar>
            <w:vAlign w:val="center"/>
          </w:tcPr>
          <w:p w14:paraId="653ED0BA" w14:textId="77777777" w:rsidR="00472341" w:rsidRDefault="00000000">
            <w:pPr>
              <w:spacing w:after="0"/>
            </w:pPr>
            <w:r>
              <w:rPr>
                <w:color w:val="000000"/>
                <w:sz w:val="15"/>
              </w:rPr>
              <w:t>Remove the invalid deleted_at update or add a deliberate soft-delete model, then cover all transition paths.</w:t>
            </w:r>
          </w:p>
        </w:tc>
        <w:tc>
          <w:tcPr>
            <w:tcW w:w="1325" w:type="dxa"/>
            <w:shd w:val="clear" w:color="auto" w:fill="FBF1D7"/>
            <w:tcMar>
              <w:top w:w="70" w:type="dxa"/>
              <w:left w:w="90" w:type="dxa"/>
              <w:bottom w:w="70" w:type="dxa"/>
              <w:right w:w="90" w:type="dxa"/>
            </w:tcMar>
            <w:vAlign w:val="center"/>
          </w:tcPr>
          <w:p w14:paraId="35DA5732" w14:textId="77777777" w:rsidR="00472341" w:rsidRDefault="00000000">
            <w:pPr>
              <w:spacing w:after="0"/>
              <w:jc w:val="center"/>
            </w:pPr>
            <w:r>
              <w:rPr>
                <w:color w:val="000000"/>
                <w:sz w:val="15"/>
              </w:rPr>
              <w:t>M1</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77261CFA" w14:textId="77777777">
        <w:trPr>
          <w:cantSplit/>
          <w:jc w:val="center"/>
        </w:trPr>
        <w:tc>
          <w:tcPr>
            <w:tcW w:w="605" w:type="dxa"/>
            <w:shd w:val="clear" w:color="auto" w:fill="FBF1D7"/>
            <w:tcMar>
              <w:top w:w="70" w:type="dxa"/>
              <w:left w:w="90" w:type="dxa"/>
              <w:bottom w:w="70" w:type="dxa"/>
              <w:right w:w="90" w:type="dxa"/>
            </w:tcMar>
            <w:vAlign w:val="center"/>
          </w:tcPr>
          <w:p w14:paraId="1A43E3DF"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89B243" w14:textId="77777777" w:rsidR="00472341" w:rsidRDefault="00000000">
            <w:pPr>
              <w:spacing w:after="0"/>
            </w:pPr>
            <w:r>
              <w:rPr>
                <w:b/>
                <w:color w:val="2E5495"/>
                <w:sz w:val="15"/>
              </w:rPr>
              <w:t>Procurement approval fail-closed behavior</w:t>
            </w:r>
          </w:p>
        </w:tc>
        <w:tc>
          <w:tcPr>
            <w:tcW w:w="6091" w:type="dxa"/>
            <w:shd w:val="clear" w:color="auto" w:fill="FBF1D7"/>
            <w:tcMar>
              <w:top w:w="70" w:type="dxa"/>
              <w:left w:w="90" w:type="dxa"/>
              <w:bottom w:w="70" w:type="dxa"/>
              <w:right w:w="90" w:type="dxa"/>
            </w:tcMar>
            <w:vAlign w:val="center"/>
          </w:tcPr>
          <w:p w14:paraId="72887C6B" w14:textId="77777777" w:rsidR="00472341" w:rsidRDefault="00000000">
            <w:pPr>
              <w:spacing w:after="0"/>
            </w:pPr>
            <w:r>
              <w:rPr>
                <w:color w:val="000000"/>
                <w:sz w:val="15"/>
              </w:rPr>
              <w:t>Do not silently skip controlled-spend approval when no approver resolves. Make templates tenant and branch aware.</w:t>
            </w:r>
          </w:p>
        </w:tc>
        <w:tc>
          <w:tcPr>
            <w:tcW w:w="1325" w:type="dxa"/>
            <w:shd w:val="clear" w:color="auto" w:fill="FBF1D7"/>
            <w:tcMar>
              <w:top w:w="70" w:type="dxa"/>
              <w:left w:w="90" w:type="dxa"/>
              <w:bottom w:w="70" w:type="dxa"/>
              <w:right w:w="90" w:type="dxa"/>
            </w:tcMar>
            <w:vAlign w:val="center"/>
          </w:tcPr>
          <w:p w14:paraId="791A0B08" w14:textId="77777777" w:rsidR="00472341" w:rsidRDefault="00000000">
            <w:pPr>
              <w:spacing w:after="0"/>
              <w:jc w:val="center"/>
            </w:pPr>
            <w:r>
              <w:rPr>
                <w:color w:val="000000"/>
                <w:sz w:val="15"/>
              </w:rPr>
              <w:t>M7, M22, M23</w:t>
            </w:r>
          </w:p>
        </w:tc>
      </w:tr>
      <w:tr w:rsidR="00472341" w14:paraId="2CD45CE2" w14:textId="77777777">
        <w:trPr>
          <w:cantSplit/>
          <w:jc w:val="center"/>
        </w:trPr>
        <w:tc>
          <w:tcPr>
            <w:tcW w:w="605" w:type="dxa"/>
            <w:shd w:val="clear" w:color="auto" w:fill="FFFFFF"/>
            <w:tcMar>
              <w:top w:w="70" w:type="dxa"/>
              <w:left w:w="90" w:type="dxa"/>
              <w:bottom w:w="70" w:type="dxa"/>
              <w:right w:w="90" w:type="dxa"/>
            </w:tcMar>
            <w:vAlign w:val="center"/>
          </w:tcPr>
          <w:p w14:paraId="0C329264"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0B26CBA4" w14:textId="77777777" w:rsidR="00472341" w:rsidRDefault="00000000">
            <w:pPr>
              <w:spacing w:after="0"/>
            </w:pPr>
            <w:r>
              <w:rPr>
                <w:b/>
                <w:color w:val="2E5495"/>
                <w:sz w:val="15"/>
              </w:rPr>
              <w:t>Failed webhook operations</w:t>
            </w:r>
          </w:p>
        </w:tc>
        <w:tc>
          <w:tcPr>
            <w:tcW w:w="6091" w:type="dxa"/>
            <w:shd w:val="clear" w:color="auto" w:fill="FFFFFF"/>
            <w:tcMar>
              <w:top w:w="70" w:type="dxa"/>
              <w:left w:w="90" w:type="dxa"/>
              <w:bottom w:w="70" w:type="dxa"/>
              <w:right w:w="90" w:type="dxa"/>
            </w:tcMar>
            <w:vAlign w:val="center"/>
          </w:tcPr>
          <w:p w14:paraId="6A5F06BA" w14:textId="77777777" w:rsidR="00472341" w:rsidRDefault="00000000">
            <w:pPr>
              <w:spacing w:after="0"/>
            </w:pPr>
            <w:r>
              <w:rPr>
                <w:color w:val="000000"/>
                <w:sz w:val="15"/>
              </w:rPr>
              <w:t>Provide failed-event queue, replay, alerting, and operator audit for payment webhooks.</w:t>
            </w:r>
          </w:p>
        </w:tc>
        <w:tc>
          <w:tcPr>
            <w:tcW w:w="1325" w:type="dxa"/>
            <w:shd w:val="clear" w:color="auto" w:fill="FFFFFF"/>
            <w:tcMar>
              <w:top w:w="70" w:type="dxa"/>
              <w:left w:w="90" w:type="dxa"/>
              <w:bottom w:w="70" w:type="dxa"/>
              <w:right w:w="90" w:type="dxa"/>
            </w:tcMar>
            <w:vAlign w:val="center"/>
          </w:tcPr>
          <w:p w14:paraId="5A91F798" w14:textId="77777777" w:rsidR="00472341" w:rsidRDefault="00000000">
            <w:pPr>
              <w:spacing w:after="0"/>
              <w:jc w:val="center"/>
            </w:pPr>
            <w:r>
              <w:rPr>
                <w:color w:val="000000"/>
                <w:sz w:val="15"/>
              </w:rPr>
              <w:t>M18, M30</w:t>
            </w:r>
          </w:p>
        </w:tc>
      </w:tr>
      <w:tr w:rsidR="00472341" w14:paraId="4F2712DD" w14:textId="77777777">
        <w:trPr>
          <w:cantSplit/>
          <w:jc w:val="center"/>
        </w:trPr>
        <w:tc>
          <w:tcPr>
            <w:tcW w:w="605" w:type="dxa"/>
            <w:shd w:val="clear" w:color="auto" w:fill="F2F5FA"/>
            <w:tcMar>
              <w:top w:w="70" w:type="dxa"/>
              <w:left w:w="90" w:type="dxa"/>
              <w:bottom w:w="70" w:type="dxa"/>
              <w:right w:w="90" w:type="dxa"/>
            </w:tcMar>
            <w:vAlign w:val="center"/>
          </w:tcPr>
          <w:p w14:paraId="69FC1BB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07BF7474" w14:textId="77777777" w:rsidR="00472341" w:rsidRDefault="00000000">
            <w:pPr>
              <w:spacing w:after="0"/>
            </w:pPr>
            <w:r>
              <w:rPr>
                <w:b/>
                <w:color w:val="2E5495"/>
                <w:sz w:val="15"/>
              </w:rPr>
              <w:t>Historical finance correctness</w:t>
            </w:r>
          </w:p>
        </w:tc>
        <w:tc>
          <w:tcPr>
            <w:tcW w:w="6091" w:type="dxa"/>
            <w:shd w:val="clear" w:color="auto" w:fill="F2F5FA"/>
            <w:tcMar>
              <w:top w:w="70" w:type="dxa"/>
              <w:left w:w="90" w:type="dxa"/>
              <w:bottom w:w="70" w:type="dxa"/>
              <w:right w:w="90" w:type="dxa"/>
            </w:tcMar>
            <w:vAlign w:val="center"/>
          </w:tcPr>
          <w:p w14:paraId="56E3321F" w14:textId="77777777" w:rsidR="00472341" w:rsidRDefault="00000000">
            <w:pPr>
              <w:spacing w:after="0"/>
            </w:pPr>
            <w:r>
              <w:rPr>
                <w:color w:val="000000"/>
                <w:sz w:val="15"/>
              </w:rPr>
              <w:t>Make as-of receivables reports reconstruct balances at the requested date.</w:t>
            </w:r>
          </w:p>
        </w:tc>
        <w:tc>
          <w:tcPr>
            <w:tcW w:w="1325" w:type="dxa"/>
            <w:shd w:val="clear" w:color="auto" w:fill="F2F5FA"/>
            <w:tcMar>
              <w:top w:w="70" w:type="dxa"/>
              <w:left w:w="90" w:type="dxa"/>
              <w:bottom w:w="70" w:type="dxa"/>
              <w:right w:w="90" w:type="dxa"/>
            </w:tcMar>
            <w:vAlign w:val="center"/>
          </w:tcPr>
          <w:p w14:paraId="6506C100" w14:textId="77777777" w:rsidR="00472341" w:rsidRDefault="00000000">
            <w:pPr>
              <w:spacing w:after="0"/>
              <w:jc w:val="center"/>
            </w:pPr>
            <w:r>
              <w:rPr>
                <w:color w:val="000000"/>
                <w:sz w:val="15"/>
              </w:rPr>
              <w:t>M17, M19</w:t>
            </w:r>
          </w:p>
        </w:tc>
      </w:tr>
      <w:tr w:rsidR="00472341" w14:paraId="643C1D0E" w14:textId="77777777">
        <w:trPr>
          <w:cantSplit/>
          <w:jc w:val="center"/>
        </w:trPr>
        <w:tc>
          <w:tcPr>
            <w:tcW w:w="605" w:type="dxa"/>
            <w:shd w:val="clear" w:color="auto" w:fill="FFFFFF"/>
            <w:tcMar>
              <w:top w:w="70" w:type="dxa"/>
              <w:left w:w="90" w:type="dxa"/>
              <w:bottom w:w="70" w:type="dxa"/>
              <w:right w:w="90" w:type="dxa"/>
            </w:tcMar>
            <w:vAlign w:val="center"/>
          </w:tcPr>
          <w:p w14:paraId="290B7769"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37F0C9CB" w14:textId="77777777" w:rsidR="00472341" w:rsidRDefault="00000000">
            <w:pPr>
              <w:spacing w:after="0"/>
            </w:pPr>
            <w:r>
              <w:rPr>
                <w:b/>
                <w:color w:val="2E5495"/>
                <w:sz w:val="15"/>
              </w:rPr>
              <w:t>Vendor prepayments</w:t>
            </w:r>
          </w:p>
        </w:tc>
        <w:tc>
          <w:tcPr>
            <w:tcW w:w="6091" w:type="dxa"/>
            <w:shd w:val="clear" w:color="auto" w:fill="FFFFFF"/>
            <w:tcMar>
              <w:top w:w="70" w:type="dxa"/>
              <w:left w:w="90" w:type="dxa"/>
              <w:bottom w:w="70" w:type="dxa"/>
              <w:right w:w="90" w:type="dxa"/>
            </w:tcMar>
            <w:vAlign w:val="center"/>
          </w:tcPr>
          <w:p w14:paraId="2B7A31A3" w14:textId="77777777" w:rsidR="00472341" w:rsidRDefault="00000000">
            <w:pPr>
              <w:spacing w:after="0"/>
            </w:pPr>
            <w:r>
              <w:rPr>
                <w:color w:val="000000"/>
                <w:sz w:val="15"/>
              </w:rPr>
              <w:t>Complete advance-payment posting and clearing across vendor, AP, payment, and ledger records.</w:t>
            </w:r>
          </w:p>
        </w:tc>
        <w:tc>
          <w:tcPr>
            <w:tcW w:w="1325" w:type="dxa"/>
            <w:shd w:val="clear" w:color="auto" w:fill="FFFFFF"/>
            <w:tcMar>
              <w:top w:w="70" w:type="dxa"/>
              <w:left w:w="90" w:type="dxa"/>
              <w:bottom w:w="70" w:type="dxa"/>
              <w:right w:w="90" w:type="dxa"/>
            </w:tcMar>
            <w:vAlign w:val="center"/>
          </w:tcPr>
          <w:p w14:paraId="09CEF93C" w14:textId="77777777" w:rsidR="00472341" w:rsidRDefault="00000000">
            <w:pPr>
              <w:spacing w:after="0"/>
              <w:jc w:val="center"/>
            </w:pPr>
            <w:r>
              <w:rPr>
                <w:color w:val="000000"/>
                <w:sz w:val="15"/>
              </w:rPr>
              <w:t>M18, M19, M21, M23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and seed finance, procurement, and payout workflow templates per school.</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FFFFF"/>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FFFFF"/>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FFFFF"/>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2F5FA"/>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2F5FA"/>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2F5FA"/>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v2.5.1 Documentation Delta</w:t>
      </w:r>
    </w:p>
    <w:p w14:paraId="4C4A5E5A" w14:textId="77777777" w:rsidR="00472341" w:rsidRDefault="00000000">
      <w:pPr>
        <w:spacing w:after="100" w:line="240" w:lineRule="auto" w:before="0"/>
      </w:pPr>
      <w:r>
        <w:rPr>
          <w:rFonts w:ascii="Aptos Narrow" w:hAnsi="Aptos Narrow"/>
          <w:b w:val="0"/>
          <w:color w:val="000000"/>
          <w:sz w:val="18"/>
        </w:rPr>
        <w:t>This patch changes documentation terminology, organization, metadata, and layout only. It does not change module statuses, capability counts, priority gaps, or the recommended build order established in v2.5.</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671"/>
        <w:gridCol w:w="1728"/>
        <w:gridCol w:w="5068"/>
      </w:tblGrid>
      <w:tr w:rsidR="00472341" w14:paraId="1C466A26" w14:textId="77777777">
        <w:trPr>
          <w:tblHeader/>
          <w:jc w:val="center"/>
          <w:tblHeader w:val="true"/>
        </w:trPr>
        <w:tc>
          <w:tcPr>
            <w:tcW w:w="3672"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5C12739E" w14:textId="77777777" w:rsidR="00472341" w:rsidRDefault="00000000">
            <w:pPr>
              <w:spacing w:after="0" w:before="0" w:line="240" w:lineRule="auto"/>
              <w:jc w:val="left"/>
            </w:pPr>
            <w:r>
              <w:rPr>
                <w:rFonts w:ascii="Aptos Narrow" w:hAnsi="Aptos Narrow"/>
                <w:b/>
                <w:color w:val="FFFFFF"/>
                <w:sz w:val="17"/>
              </w:rPr>
              <w:t>v2.5.1 documentation delta</w:t>
            </w:r>
          </w:p>
        </w:tc>
        <w:tc>
          <w:tcPr>
            <w:tcW w:w="172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4AEA54D5" w14:textId="77777777" w:rsidR="00472341" w:rsidRDefault="00000000">
            <w:pPr>
              <w:spacing w:after="0" w:before="0" w:line="240" w:lineRule="auto"/>
              <w:jc w:val="left"/>
            </w:pPr>
            <w:r>
              <w:rPr>
                <w:rFonts w:ascii="Aptos Narrow" w:hAnsi="Aptos Narrow"/>
                <w:b/>
                <w:color w:val="FFFFFF"/>
                <w:sz w:val="17"/>
              </w:rPr>
              <w:t>Decision</w:t>
            </w:r>
          </w:p>
        </w:tc>
        <w:tc>
          <w:tcPr>
            <w:tcW w:w="5069"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1AC54074" w14:textId="77777777" w:rsidR="00472341" w:rsidRDefault="00000000">
            <w:pPr>
              <w:spacing w:after="0" w:before="0" w:line="240" w:lineRule="auto"/>
              <w:jc w:val="left"/>
            </w:pPr>
            <w:r>
              <w:rPr>
                <w:rFonts w:ascii="Aptos Narrow" w:hAnsi="Aptos Narrow"/>
                <w:b/>
                <w:color w:val="FFFFFF"/>
                <w:sz w:val="17"/>
              </w:rPr>
              <w:t>Evidence</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 family terminology</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cross-module tracker is now the Module Requirements Document (MRD); detailed module documents remain Functional Requirements Documents (FRDs).</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Requirements folder structure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Separated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MRD versions and module-level FRD versions are stored in distinct document families while historical files remain preserved.</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Metadata and headers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Cover, document control, core properties, odd and even headers, version labels, and source baseline now agree.</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Change-log layout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Repaired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table is constrained to the A4 content width and no longer clips outside the page.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tcMar>
            <w:vAlign w:val="center"/>
          </w:tcPr>
          <w:p w14:paraId="75F555DE" w14:textId="77777777" w:rsidR="00472341" w:rsidRDefault="00000000">
            <w:pPr>
              <w:spacing w:after="0"/>
            </w:pPr>
            <w:r>
              <w:rPr>
                <w:color w:val="000000"/>
                <w:sz w:val="17"/>
              </w:rPr>
              <w:t>Fix branch transitions, add safe school lifecycle controls, require privileged MFA, and make procurement approval fail closed.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Add failed-webhook operations, correct historical receivables, finish vendor prepayments, and validate payout approvals.</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and seed tenant-specific workflow templates and defaults.</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v2.5.1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2.5.1</cp:version>
</cp:coreProperties>
</file>