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2.7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12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backend codebase at bbff9edbd8863e4b440480cb1120dd59630dcba5 (12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395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7"/>
              </w:rPr>
              <w:t>5. v2.5.1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Terminology, organization, metadata, and presentation corrections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v2.5.1 Documentation Delta</w:t>
      </w:r>
    </w:p>
    <w:p w14:paraId="4C4A5E5A" w14:textId="77777777" w:rsidR="00472341" w:rsidRDefault="00000000">
      <w:pPr>
        <w:spacing w:after="100" w:line="240" w:lineRule="auto" w:before="0"/>
      </w:pPr>
      <w:r>
        <w:rPr>
          <w:rFonts w:ascii="Aptos Narrow" w:hAnsi="Aptos Narrow"/>
          <w:b w:val="0"/>
          <w:color w:val="000000"/>
          <w:sz w:val="18"/>
        </w:rPr>
        <w:t>This patch changes documentation terminology, organization, metadata, and layout only. It does not change module statuses, capability counts, priority gaps, or the recommended build order established in v2.5.</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671"/>
        <w:gridCol w:w="1728"/>
        <w:gridCol w:w="5068"/>
      </w:tblGrid>
      <w:tr w:rsidR="00472341" w14:paraId="1C466A26" w14:textId="77777777">
        <w:trPr>
          <w:tblHeader/>
          <w:jc w:val="center"/>
          <w:tblHeader w:val="true"/>
        </w:trPr>
        <w:tc>
          <w:tcPr>
            <w:tcW w:w="367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v2.5.1 documentation delta</w:t>
            </w:r>
          </w:p>
        </w:tc>
        <w:tc>
          <w:tcPr>
            <w:tcW w:w="172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5069"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 family terminology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cross-module tracker is now the Module Requirements Document (MRD); detailed module documents remain Functional Requirements Documents (FRDs).</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Requirements folder structure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Separated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MRD versions and module-level FRD versions are stored in distinct document families while historical files remain preserved.</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Metadata and headers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Cover, document control, core properties, odd and even headers, version labels, and source baseline now agree.</w:t>
            </w:r>
          </w:p>
        </w:tc>
      </w:tr>
      <w:t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Change-log layout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Repaired</w:t>
            </w:r>
          </w:p>
        </w:tc>
        <w:tc>
          <w:tcPr>
            <w:tcW w:type="dxa" w:w="5069"/>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table is constrained to the A4 content width and no longer clips outside the page.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Validate payout approvals.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v2.5.1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2.5.1</cp:version>
</cp:coreProperties>
</file>