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2.55</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2.56</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2 September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Backend change closing six defects found in a review of the engine apps: a lost update that let two concurrent settlements of the same document overstate what had been paid; finance reference lookups that resolved a customer, invoice or fee structure outside the caller's branches; approval authority obtainable by naming a tenant role; a production configuration in which no scheduled task can run; public invoice pay links that could not be revoked and never expired; and a payment-provider round-trip held inside the booking transaction. In vs_finance, vs_procurement, vs_payments, vs_rbac, vs_workflow, core, vs_admin_console and the finance abstraction layer. Verified with 2,640 tests across the eight affected applications on 2 September 2026. Backend evidence only; nothing here is deployed.</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478</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8"/>
              </w:rPr>
              <w:t>5. v2.56 Capability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Six defects closed across settlement, branch scope, approval authority, scheduled work and the public pay link</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fal, vs_admin_console, vs_user, vs_rbac, vs_audit, vs_config, vs_notifications, vs_import_data, vs_workflow, vs_finance, vs_procurement, vs_payments, vs_exports, vs_todo, vs_tickets, and vs_health. The schools product carries vs_schools, vs_onboarding, vs_academics, vs_calendar and the finance abstraction layer under apps/schools/; the layer is mounted as the app fal because it owns one table, and it now carries URLs at v1/school-finance/ for linking a fee structure to a term and generating a cohort's invoices.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2501149E"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3580B090"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18</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5E3A3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14</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58D45273"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646BED54"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17</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F79AF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18</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EE30883"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54C1570"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22A35A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26</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C818167"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EAC7E6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4CC961B"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3C9BEE37"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450E82E1"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11BDEB35"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7FAA8B8A"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E3F3E9"/>
          </w:tcPr>
          <w:p w14:paraId="4CB8289D"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A380BE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732DE14D"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3CE9CD4"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tcMar>
              <w:top w:w="70" w:type="dxa"/>
              <w:left w:w="90" w:type="dxa"/>
              <w:bottom w:w="70" w:type="dxa"/>
              <w:right w:w="90" w:type="dxa"/>
            </w:tcMar>
            <w:vAlign w:val="center"/>
            <w:shd w:val="clear" w:color="auto" w:fill="ECEFF3"/>
          </w:tcPr>
          <w:p w14:paraId="5D180032"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4C891CD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2581D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19</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11AFA7E"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23</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003C0C1"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09870348"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FBF1D7"/>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D98D489"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5B1E568C"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27BC5F4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009F3AD3"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5ABF0F5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6EBBAB28"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23</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3062384A"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164C8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FBF1D7"/>
          </w:tcPr>
          <w:p w14:paraId="0D55BA45" w14:textId="77777777" w:rsidR="00472341" w:rsidRDefault="00000000">
            <w:pPr>
              <w:spacing w:after="0"/>
              <w:jc w:val="center"/>
            </w:pPr>
            <w:r>
              <w:rPr>
                <w:color w:val="000000"/>
                <w:sz w:val="14"/>
              </w:rPr>
              <w:t>Partial</w:t>
            </w:r>
          </w:p>
        </w:tc>
        <w:tc>
          <w:tcPr>
            <w:tcW w:w="1238" w:type="dxa"/>
            <w:tcMar>
              <w:top w:w="70" w:type="dxa"/>
              <w:left w:w="90" w:type="dxa"/>
              <w:bottom w:w="70" w:type="dxa"/>
              <w:right w:w="90" w:type="dxa"/>
            </w:tcMar>
            <w:vAlign w:val="center"/>
            <w:shd w:val="clear" w:color="auto" w:fill="FBF1D7"/>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6C20E4EF"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3F277CDE"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CEFF3"/>
          </w:tcPr>
          <w:p w14:paraId="2C123B17" w14:textId="77777777" w:rsidR="00472341" w:rsidRDefault="00000000">
            <w:pPr>
              <w:spacing w:after="0"/>
              <w:jc w:val="center"/>
            </w:pPr>
            <w:r>
              <w:rPr>
                <w:color w:val="000000"/>
                <w:sz w:val="14"/>
              </w:rPr>
              <w:t>Planned</w:t>
            </w:r>
          </w:p>
        </w:tc>
        <w:tc>
          <w:tcPr>
            <w:tcW w:w="1238" w:type="dxa"/>
            <w:tcMar>
              <w:top w:w="70" w:type="dxa"/>
              <w:left w:w="90" w:type="dxa"/>
              <w:bottom w:w="70" w:type="dxa"/>
              <w:right w:w="90" w:type="dxa"/>
            </w:tcMar>
            <w:vAlign w:val="center"/>
            <w:shd w:val="clear" w:color="auto" w:fill="ECEFF3"/>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62C7D02"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tcMar>
              <w:top w:w="70" w:type="dxa"/>
              <w:left w:w="90" w:type="dxa"/>
              <w:bottom w:w="70" w:type="dxa"/>
              <w:right w:w="90" w:type="dxa"/>
            </w:tcMar>
            <w:vAlign w:val="center"/>
            <w:shd w:val="clear" w:color="auto" w:fill="E3F3E9"/>
          </w:tcPr>
          <w:p w14:paraId="1494FD56" w14:textId="77777777" w:rsidR="00472341" w:rsidRDefault="00000000">
            <w:pPr>
              <w:spacing w:after="0"/>
              <w:jc w:val="center"/>
            </w:pPr>
            <w:r>
              <w:rPr>
                <w:color w:val="000000"/>
                <w:sz w:val="14"/>
              </w:rPr>
              <w:t>Complete</w:t>
            </w:r>
          </w:p>
        </w:tc>
        <w:tc>
          <w:tcPr>
            <w:tcW w:w="1238" w:type="dxa"/>
            <w:tcMar>
              <w:top w:w="70" w:type="dxa"/>
              <w:left w:w="90" w:type="dxa"/>
              <w:bottom w:w="70" w:type="dxa"/>
              <w:right w:w="90" w:type="dxa"/>
            </w:tcMar>
            <w:vAlign w:val="center"/>
            <w:shd w:val="clear" w:color="auto" w:fill="E3F3E9"/>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16</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Commercial lifecycle controls,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p w14:paraId="68C28059" w14:textId="77777777" w:rsidR="00472341" w:rsidRDefault="00000000">
            <w:pPr>
              <w:spacing w:after="0"/>
            </w:pPr>
            <w:r>
              <w:rPr>
                <w:color w:val="000000"/>
                <w:sz w:val="16"/>
              </w:rPr>
              <w:t>▸  Authorised, expiring access to school branding files</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E13A92C" w14:textId="77777777" w:rsidR="00472341" w:rsidRDefault="00000000">
            <w:pPr>
              <w:keepNext/>
              <w:spacing w:after="0" w:before="0" w:line="240" w:lineRule="auto"/>
              <w:jc w:val="left"/>
            </w:pPr>
            <w:r>
              <w:rPr>
                <w:rFonts w:ascii="Aptos Narrow" w:hAnsi="Aptos Narrow"/>
                <w:b w:val="0"/>
                <w:color w:val="000000"/>
                <w:sz w:val="16"/>
              </w:rPr>
              <w:t>NEEDS ATTENTION</w:t>
              <w:br/>
              <w:t>• School lifecycle is still incomplete. Implemented School and onboarding status transitions now close active impersonation sessions transactionally, and session start takes the same Tenant lock, so reactivation cannot revive an old proxy. Operator suspension, reactivation and recoverable soft delete for commercial reasons remain missing, and ordinary login-session revocation is still undefined.</w:t>
              <w:b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t>Authentication, invitations, account security, sessions, platform staff, and organization-position structures. Invitation and password-reset links are request-bound, and both emails are queued after the row they carry commits rather than from inside its transaction. Account creation now applies the same restricted-role grant ceiling as the dedicated assignment endpoints, so creating a colleague cannot be used as a quieter route to hand out authority the creator does not hold.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school authorization with reusable permission definitions, roles, templates, assignments, and controlled overrides. Platform-only scope is enforced independently from restricted sensitivity. Restricted keys cannot enter direct role writes, groups, or ALLOW overrides; they enter a custom role only through a change request decided by a different reviewer who already holds every restricted key being granted. Branch reach remains grant-derived, and one person may hold the same role at more than one branch. Every supported role permission or group change records its actor, reason, source, approval reference where applicable, and complete before-and-after access configuration in the same transaction as the mutation.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 reaching finance and procurement</w:t>
            </w:r>
          </w:p>
          <w:p w14:paraId="06A753C5" w14:textId="77777777" w:rsidR="00472341" w:rsidRDefault="00000000">
            <w:pPr>
              <w:spacing w:after="0"/>
            </w:pPr>
            <w:r>
              <w:rPr>
                <w:color w:val="000000"/>
                <w:sz w:val="16"/>
              </w:rPr>
              <w:t xml:space="preserve"/>
            </w:r>
          </w:p>
          <w:p w14:paraId="06A753C5" w14:textId="77777777" w:rsidR="00472341" w:rsidRDefault="00000000">
            <w:pPr>
              <w:spacing w:after="0"/>
            </w:pPr>
            <w:r>
              <w:rPr>
                <w:color w:val="000000"/>
                <w:sz w:val="16"/>
              </w:rPr>
              <w:t>▸  Reserved approval-role keys refused at role creation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No material capability gap was identified within this module's stated backend scope.</w:t>
              <w:br/>
              <w:t>• Two role-grant escalations are closed at their source. Scope refuses a tenant carrying a platform-only key. Separately, a restricted key is refused on direct role writes, in permission groups, and as an ALLOW override; it may enter a custom role only through a change request decided by somebody other than the requester, and that reviewer may grant only restricted keys they already hold. Existing unverified restricted grants are removed from custom roles by migration, while trusted seeded system roles remain as the approval bootstrap.</w:t>
              <w:br/>
              <w:t>• A role granted for the whole school now reaches the whole school. The branch narrowing and the permission gate are resolved from the same grants, so a Finance Officer for the whole school is no longer narrowed to the one branch her staff record happens to name while the gate lets her act at the others. Writes follow reads: what she raises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the school_admin and branch_admin prebuilt templates from a school-app data migration. Existing template rows, including deliberately deactivated ones, are preserved. Missing or unusable required templates now refuse school or branch creation instead of leaving a parent record with no administrator.</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p w14:paraId="35220B93" w14:textId="77777777" w:rsidR="00472341" w:rsidRDefault="00000000">
            <w:pPr>
              <w:spacing w:after="20"/>
              <w:ind w:left="86" w:hanging="86"/>
            </w:pPr>
            <w:r>
              <w:rPr>
                <w:sz w:val="16"/>
              </w:rPr>
              <w:t>• Branch scope resolution now answers for writes as well as reads. A named ?branch= is checked against the caller's own grants at the one lookup every configuration view passes through, so a configuration administrator pinned to one site can no longer set another site's values, and a holder of a school-wide configuration role may set them at every branch.</w:t>
            </w:r>
          </w:p>
          <w:p w14:paraId="35220B93" w14:textId="77777777" w:rsidR="00472341" w:rsidRDefault="00000000">
            <w:pPr>
              <w:spacing w:after="20"/>
              <w:ind w:left="86" w:hanging="86"/>
            </w:pPr>
            <w:r>
              <w:rPr>
                <w:sz w:val="16"/>
              </w:rPr>
              <w:t>• Bulk scheduling changes dates without rewriting an existing entitlement decision. An explicit denial rejects the whole batch, existing grants keep their source, and only a target with no row is created as a manual grant.</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A stage nobody can approve parks rather than auto-skipping, by default and not only where a seed remembered to say so.</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p w14:paraId="7CDC09B0" w14:textId="77777777" w:rsidR="00472341" w:rsidRDefault="00000000">
            <w:pPr>
              <w:spacing w:after="0"/>
            </w:pPr>
            <w:r>
              <w:rPr>
                <w:color w:val="000000"/>
                <w:sz w:val="16"/>
              </w:rPr>
              <w:t>▸  Approver resolution limited to provisioned approval roles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Continue-without-approval remains available only where a document handler permits it. Payouts forbid it; permitted document types still rely on audit rather than a second reviewer.</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including Module 30 health alerts, bypass delivery preferences and use both channels. One-time invitation and reset credentials are replaced only in the delivery worker, so notification records retain a marker rather than the raw secret.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asks to be activated and is activated by platform staff; a School that abandons the process is warned, expires, and can be put back by hand. Expiry and reinstatement now use the shared Tenant transition service, so a suspended School's active impersonation sessions are ended in the same transaction and stay ended after reinstatement.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dataset a school may import for itself exists yet. Students, staff and parents have no template and no model, so the school-facing import screen shows an empty table. The onboarding checklist step it serves is optional, so readiness and go-live are not blocked.</w:t>
            </w:r>
          </w:p>
          <w:p w14:paraId="38D7D122" w14:textId="77777777" w:rsidR="00472341" w:rsidRDefault="00000000">
            <w:pPr>
              <w:spacing w:after="20"/>
              <w:ind w:left="86" w:hanging="86"/>
            </w:pPr>
            <w:r>
              <w:rPr>
                <w:sz w:val="16"/>
              </w:rPr>
              <w:t>• Import notifications are the module's own rows and are not dispatched through Module 8. There is no email, no bell entry and no delivery record, and the feed requires a platform key, so the school administrator who started an import cannot read the notice about it.</w:t>
            </w:r>
          </w:p>
          <w:p w14:paraId="38D7D122" w14:textId="77777777" w:rsidR="00472341" w:rsidRDefault="00000000">
            <w:pPr>
              <w:spacing w:after="20"/>
              <w:ind w:left="86" w:hanging="86"/>
            </w:pPr>
            <w:r>
              <w:rPr>
                <w:sz w:val="16"/>
              </w:rPr>
              <w:t>• A run cannot be stopped once it has started. Cancellation covers only the statuses before execution and the row loop checks nothing, so a long import of a wrong file must finish and then be rolled back.</w:t>
            </w:r>
          </w:p>
          <w:p w14:paraId="38D7D122" w14:textId="77777777" w:rsidR="00472341" w:rsidRDefault="00000000">
            <w:pPr>
              <w:spacing w:after="20"/>
              <w:ind w:left="86" w:hanging="86"/>
            </w:pPr>
            <w:r>
              <w:rPr>
                <w:sz w:val="16"/>
              </w:rPr>
              <w:t>• Execution reads the batch's stored preview rows with no streaming path, so the practical file size is bounded by one JSON column and one in-memory list. No limit is stated or enforced.</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Documented by M11 FRD v2.5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Two of the ten capabilities above are not evidenced and are why this module is Partial rather than Complete. Effective-dated structure changes: no model carries an effective_from, so a mid-year rename rewrites history rather than superseding it. And the class-subject-teacher assignment layer, which M13 FRD v2.5 withdrew deliberately - the teacher half has no permission key of its own and waits for Module 12, which leaves the timetable slot as the first and only place a person is bound to a subject. Academics-specific bulk import is also unbuilt.</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Documented by M14 FRD v3.1.</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because there is no staff model. Somebody who has not been given a login, or whose teacher role nobody assigned, cannot be put on a timetable. Module 12 is what closes this;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sz w:val="16"/>
              </w:rPr>
              <w:t>• The invoice pay link is served end to end by the backend, but the page it addresses belongs to the public application and is not built. Until it is, a customer clicking Pay online reaches nothing.</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br/>
              <w:t>• Every payout, including POST /payouts/, enters approval as a batch. No creation or direct-submit route calls the provider.</w:t>
              <w:br/>
              <w:t>• Low-value batches need one checker; a batch at or above N500,000 needs a distinct senior checker. Payouts cannot continue without human approval.</w:t>
              <w:br/>
              <w:t>• A data migration publishes a blocked platform fallback for entities that predate tenant provisioning, without overwriting an existing platform policy. payout_approval_health names every active entity that still cannot resolve a ladder and fails the release check.</w:t>
              <w:br/>
              <w:t>• The destination comes from a verified, active vendor master. Bank changes reset KYC and the live master is rechecked at dispatch.</w:t>
              <w:b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p w14:paraId="502C2918" w14:textId="77777777" w:rsidR="00472341" w:rsidRDefault="00000000">
            <w:pPr>
              <w:spacing w:after="20"/>
              <w:ind w:left="86" w:hanging="86"/>
            </w:pPr>
            <w:r>
              <w:rPr>
                <w:sz w:val="16"/>
              </w:rP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site's bill.</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60" w:before="0" w:line="240" w:lineRule="auto"/>
            </w:pPr>
            <w:r>
              <w:rPr>
                <w:rFonts w:ascii="Aptos Narrow" w:hAnsi="Aptos Narrow"/>
                <w:b/>
                <w:color w:val="A86800"/>
                <w:sz w:val="17"/>
              </w:rPr>
              <w:t>CURRENT DECISION</w:t>
            </w:r>
          </w:p>
          <w:p w14:paraId="353E0304" w14:textId="77777777" w:rsidR="00472341" w:rsidRDefault="00000000">
            <w:pPr>
              <w:spacing w:after="40" w:before="0" w:line="240" w:lineRule="auto"/>
              <w:ind w:left="86" w:hanging="86"/>
            </w:pPr>
            <w:r>
              <w:rPr>
                <w:rFonts w:ascii="Aptos Narrow" w:hAnsi="Aptos Narrow"/>
                <w:b w:val="0"/>
                <w:color w:val="000000"/>
                <w:sz w:val="16"/>
              </w:rPr>
              <w:t>• New export runs use short XR-&lt;tenant_id&gt;&lt;YYMMDD&gt;&lt;n&gt; references from the shared locked tenant sequence. The counter is unpadded and restarts for each tenant and day; the tenant id and date keep the full reference globally unique.</w:t>
            </w:r>
          </w:p>
          <w:p>
            <w:pPr>
              <w:spacing w:before="0" w:after="40" w:line="240" w:lineRule="auto"/>
            </w:pPr>
            <w:r>
              <w:rPr>
                <w:rFonts w:ascii="Aptos Narrow" w:hAnsi="Aptos Narrow"/>
                <w:b w:val="0"/>
                <w:color w:val="000000"/>
                <w:sz w:val="16"/>
              </w:rPr>
              <w:t>• Counter allocation and run insertion share one transaction, so a rejected run does not consume a reference. Existing RUN- values remain unchanged.</w:t>
            </w:r>
          </w:p>
          <w:p>
            <w:pPr>
              <w:spacing w:before="0" w:after="40" w:line="240" w:lineRule="auto"/>
            </w:pPr>
            <w:r>
              <w:rPr>
                <w:rFonts w:ascii="Aptos Narrow" w:hAnsi="Aptos Narrow"/>
                <w:b w:val="0"/>
                <w:color w:val="000000"/>
                <w:sz w:val="16"/>
              </w:rPr>
              <w:t>• Module 26 remains Backend Complete and In use Complete with 16 capability entries and no identified material gap. Focused verification passed 15 ExportRun tests and 9 branch-scope tests. The wider fail-fast run stopped after 38 tests on the unrelated uncommitted school.students dataset, which has no locked column.</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70" w:type="dxa"/>
              <w:left w:w="120" w:type="dxa"/>
              <w:bottom w:w="70" w:type="dxa"/>
              <w:right w:w="12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platform.health.manage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privacy-safe guide-to-support context, and dimensionless how-to analytics for platform editorial review.</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Stand up the Celery worker and broker and take the web service out of eager mode. Eager mode has no beat scheduler, so every periodic task is inert: overdue fees are never chased, an approved payout that was never dispatched is never recovered, and gateway money that failed to book raises no alarm.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school-facing billing. The finance side of that wait is now shorter: the finance abstraction layer gives these modules a typed contract over billing, payments and procurement, so they no longer need the finance schema. Academic structure and the calendar are built; students and staff are not, and the parent portal's ownership check has nothing to consult until they are.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v2.56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the invoice Pay online control becoming a way to pay. It carried the address a payer returns to after paying, so it was never a payment route, and on staging that address resolved to localhost. It now carries a signed link to a pay page that creates the checkout when the customer opens it, for the balance outstanding at that moment.</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blHeader w:val="true"/>
          <w:tblHeader w:val="true"/>
          <w:tblHeader w:val="true"/>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v2.56 capability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Settling the same document twice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longer overstates payment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receipts posted against one invoice at the same moment each read the balance before either wrote, so both settled it in full: the invoice recorded one payment while the ledger credited receivables twice. The same read-modify-write stood in supplier-bill payment and expense-claim reimbursement. All three now re-read the document under a row lock inside the transaction that books it.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Finance lookups by code or id</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Narrowed to the caller's branches</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Lists were branch-filtered in thirty-one places while the four resolvers behind them were filtered in none, so a bursar posted to one branch could open another branch's customer record, its statement of account, and its fee structures by naming the code. Document creation was already refused by the inheritance rule; reads and fee-structure edits were not. A row outside the caller's branches now answers exactly as an unknown one does.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Approval authority</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longer obtainable by naming a role</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stage nominates approvers by matching a role key, and a tenant role's key is slugified from the name its creator typed, so naming a role “Payout Approver” put its holders on the approver list for every payout the school raised. The engine now resolves only roles provisioning created, and the roles screen refuses a reserved key outright. Module 4 and Module 7 each gain one capability entry.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Scheduled work in production</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Reported rather than silent</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deployment runs Celery in eager mode, which has no beat scheduler, so no periodic task fires at all: not overdue-fee dunning, not the undispatched-payout recovery sweep, not the unbooked-gateway-money alarms. None of them reports its own absence. A system check now names the condition on every management command, and the admin console reports when each scheduled task last actually ran. The worker itself is a deployment step and is not done.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Public invoice pay links</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Revocable, and no longer immortal</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 link carried no version and no expiry, so a copy forwarded onward kept working for as long as the invoice stayed open, showing the payer's name, the invoice number and the balance. Only rotating the signing salt could stop it, which would have killed every pay link the school had ever sent. One invoice's links can now be revoked on their own, an unrevoked copy expires, and the summary read is bounded per link rather than only per address.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Confirming a payment with the provider</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Outside the booking transaction</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The provider round-trip ran inside the transaction that held the row lock, so a slow gateway held a database connection and a lock for its whole duration and could drain the pool. Verification now happens with nothing locked and the lock is taken afterwards, with a re-check under it so a re-delivered webhook still cannot book twice.</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shd w:val="clear" w:color="auto" w:fill="F2F5FA"/>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105E690" w14:textId="77777777" w:rsidR="00472341" w:rsidRDefault="00000000">
            <w:pPr>
              <w:spacing w:after="0" w:before="0" w:line="240" w:lineRule="auto"/>
              <w:jc w:val="left"/>
            </w:pPr>
            <w:r>
              <w:rPr>
                <w:rFonts w:ascii="Aptos Narrow" w:hAnsi="Aptos Narrow"/>
                <w:b w:val="0"/>
                <w:color w:val="000000"/>
                <w:sz w:val="16"/>
              </w:rPr>
              <w:t>Student Management is built, so Staff Management is now the one that gates the rest. Academic Structure is built and Timetable &amp; Calendar now stands on it; Staff Management is the one that most limits what Timetable can check, because a teacher is currently a role grant rather than a person with hours, a specialism, and a qualification.</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Sep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2.40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August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26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2.30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2.21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v2.50</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v2.50</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2.50</cp:version>
</cp:coreProperties>
</file>