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1.36</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v2.108 | Module M04 | Roles and Permissions RBAC. Backend through bb104cee (19 October 2026); no deployment claim.</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The backend registry, profile serializers, endpoint tests, deep-payload checks, school profile form, and school and console guide records were inspected together. Deployment and production adoption are not claimed.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XVS Module Requirements Document v2.105</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FR-033,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v2.105's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471 fields still awaiting product decisions. That ledger is current work, not evidence that unregistered fields are covered.</w:t>
      </w:r>
    </w:p>
    <w:p>
      <w:pPr>
        <w:keepNext/>
        <w:spacing w:after="120"/>
      </w:pPr>
      <w:r>
        <w:t>Current Contracts at 19 October 2026</w:t>
      </w:r>
    </w:p>
    <w:p>
      <w:r>
        <w:t>Portal and Gradebook access. The registry includes gradebook amendment create and approve, sheet import, analytics view and export, pupil and guardian portal access issue, notice view and post keys, and the Student Portal Core band. school.portal_access.issue governs both pupil and guardian account issue, resend and revoke.</w:t>
      </w:r>
    </w:p>
    <w:p>
      <w:r>
        <w:t>Field Access now includes Gradebook amendment reason, decision note and promotion line, student and guardian portal access, guardian alternate phone, the notice title, body, audience, status, publication and read evidence, and every Finance setting. Each Finance setting value has its own Read and Write switch; a hidden value leaves its screen, consumer entry, history and audit trail, while a write to a non-writable value is refused before any save.</w:t>
      </w:r>
    </w:p>
    <w:p>
      <w:r>
        <w:t>Procurement approval receipts carry the document title under read-only procurement.approval.title. Former approvers keep the narrow receipt only, title search returns nothing outside current document reach, and another approver’s decisions never appear.</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v2.105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FR-022, FR-027, FR-029, FR-030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v2.105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v2.105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1.35</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14 October 2026</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portal, Gradebook, procurement-title and complete Finance-settings access controls.</w:t>
            </w:r>
          </w:p>
        </w:tc>
      </w:t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1.35</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14 October 2026</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p/>
    <w:p/>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v1.30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v1.32</dc:title>
  <cp:lastModifiedBy>Chidera Ohiaekpete</cp:lastModifiedBy>
  <cp:revision>1</cp:revision>
  <cp:lastPrinted>2026-07-17T18:03:00Z</cp:lastPrinted>
  <dcterms:created xsi:type="dcterms:W3CDTF">2026-07-17T18:03:00Z</dcterms:created>
  <dcterms:modified xsi:type="dcterms:W3CDTF">2026-08-19T12:00:00Z</dcterms:modified>
  <cp:version>1.32</cp:version>
  <dc:subject>Module 4: Roles &amp; Permissions (RBAC)</dc:subject>
  <cp:category>Functional Requirements Document</cp:category>
  <dc:description>Code-aligned functional baseline traced from apps/vs_rbac at 899cfd7.</dc:description>
</cp:coreProperties>
</file>