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726E813" w14:textId="77777777" w:rsidR="00A62A3E" w:rsidRDefault="00000000">
      <w:pPr>
        <w:spacing w:before="1440" w:after="1280"/>
      </w:pPr>
      <w:r>
        <w:rPr>
          <w:rFonts w:ascii="Aptos Display" w:hAnsi="Aptos Display"/>
          <w:b/>
          <w:color w:val="355B9D"/>
          <w:sz w:val="72"/>
        </w:rPr>
        <w:drawing>
          <wp:inline xmlns:a="http://schemas.openxmlformats.org/drawingml/2006/main" xmlns:pic="http://schemas.openxmlformats.org/drawingml/2006/picture">
            <wp:extent cx="603181" cy="502920"/>
            <wp:docPr id="1" name="Picture 1"/>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603181" cy="502920"/>
                    </a:xfrm>
                    <a:prstGeom prst="rect"/>
                  </pic:spPr>
                </pic:pic>
              </a:graphicData>
            </a:graphic>
          </wp:inline>
        </w:drawing>
      </w:r>
    </w:p>
    <w:tbl>
      <w:tblPr>
        <w:tblW w:w="8352" w:type="dxa"/>
        <w:tblLayout w:type="fixed"/>
        <w:tblLook w:val="04A0" w:firstRow="1" w:lastRow="0" w:firstColumn="1" w:lastColumn="0" w:noHBand="0" w:noVBand="1"/>
      </w:tblPr>
      <w:tblGrid>
        <w:gridCol w:w="8352"/>
      </w:tblGrid>
      <w:tr w:rsidR="00A62A3E" w14:paraId="1E522F89" w14:textId="77777777">
        <w:tc>
          <w:tcPr>
            <w:tcW w:w="8352" w:type="dxa"/>
            <w:tcBorders>
              <w:top w:val="single" w:sz="10" w:space="0" w:color="000000"/>
              <w:left w:val="single" w:sz="10" w:space="0" w:color="000000"/>
              <w:bottom w:val="single" w:sz="10" w:space="0" w:color="000000"/>
              <w:right w:val="single" w:sz="10" w:space="0" w:color="000000"/>
            </w:tcBorders>
            <w:shd w:val="clear" w:color="auto" w:fill="355B9D"/>
            <w:tcMar>
              <w:top w:w="190" w:type="dxa"/>
              <w:left w:w="180" w:type="dxa"/>
              <w:bottom w:w="190" w:type="dxa"/>
              <w:right w:w="180" w:type="dxa"/>
            </w:tcMar>
          </w:tcPr>
          <w:p w14:paraId="1AA1E3BE" w14:textId="77777777" w:rsidR="00A62A3E" w:rsidRDefault="00000000">
            <w:pPr>
              <w:spacing w:after="140"/>
            </w:pPr>
            <w:r>
              <w:rPr>
                <w:rFonts w:ascii="Aptos Display" w:hAnsi="Aptos Display"/>
                <w:b/>
                <w:color w:val="FFFFFF"/>
                <w:sz w:val="40"/>
              </w:rPr>
              <w:t>FUNCTIONAL REQUIREMENTS DOCUMENT</w:t>
            </w:r>
          </w:p>
          <w:p w14:paraId="4FAAA466" w14:textId="77777777" w:rsidR="00A62A3E" w:rsidRDefault="00000000">
            <w:pPr>
              <w:spacing w:after="100"/>
            </w:pPr>
            <w:r>
              <w:rPr>
                <w:rFonts w:ascii="Aptos Display" w:hAnsi="Aptos Display"/>
                <w:b/>
                <w:color w:val="FFFFFF"/>
                <w:sz w:val="28"/>
              </w:rPr>
              <w:t>Module 15: Attendance Management</w:t>
            </w:r>
          </w:p>
          <w:p w14:paraId="6071B59E" w14:textId="77777777" w:rsidR="00A62A3E" w:rsidRDefault="00000000">
            <w:pPr>
              <w:spacing w:after="180"/>
            </w:pPr>
            <w:r>
              <w:rPr>
                <w:color w:val="FFFFFF"/>
                <w:sz w:val="20"/>
              </w:rPr>
              <w:t>XVision Systems | Daily, lesson, staff and pupil attendance</w:t>
            </w:r>
          </w:p>
          <w:p w14:paraId="05516311" w14:textId="77777777" w:rsidR="00A62A3E" w:rsidRDefault="00000000">
            <w:pPr>
              <w:spacing w:after="0"/>
            </w:pPr>
            <w:r>
              <w:rPr>
                <w:b/>
                <w:color w:val="FFFFFF"/>
                <w:sz w:val="19"/>
              </w:rPr>
              <w:t>Prepared by: CodeX Team    Version: 1.0.1</w:t>
            </w:r>
          </w:p>
        </w:tc>
      </w:tr>
    </w:tbl>
    <w:p w14:paraId="51F662A0" w14:textId="77777777" w:rsidR="00A62A3E" w:rsidRDefault="00000000">
      <w:pPr>
        <w:spacing w:after="160"/>
      </w:pPr>
      <w:r>
        <w:rPr>
          <w:rFonts w:ascii="Aptos Display" w:hAnsi="Aptos Display"/>
          <w:b/>
          <w:color w:val="355B9D"/>
          <w:sz w:val="52"/>
        </w:rPr>
        <w:t>2026</w:t>
      </w:r>
    </w:p>
    <w:p w14:paraId="74327561" w14:textId="77777777" w:rsidR="00A62A3E" w:rsidRDefault="00000000">
      <w:pPr>
        <w:spacing w:after="100"/>
      </w:pPr>
      <w:r>
        <w:rPr>
          <w:color w:val="5E6B7A"/>
        </w:rPr>
        <w:t>Internal Documentation</w:t>
      </w:r>
    </w:p>
    <w:p w14:paraId="4ECE0199" w14:textId="77777777" w:rsidR="00A62A3E" w:rsidRDefault="00000000">
      <w:r>
        <w:br w:type="page"/>
      </w:r>
    </w:p>
    <w:p w14:paraId="5020320F" w14:textId="77777777" w:rsidR="00A62A3E" w:rsidRDefault="00000000">
      <w:pPr>
        <w:pStyle w:val="Heading1"/>
        <w:keepNext/>
        <w:pBdr>
          <w:bottom w:val="single" w:sz="14" w:space="5" w:color="355B9D"/>
        </w:pBdr>
      </w:pPr>
      <w:r>
        <w:lastRenderedPageBreak/>
        <w:t>Document Control</w:t>
      </w:r>
    </w:p>
    <w:tbl>
      <w:tblPr>
        <w:tblW w:w="10468" w:type="dxa"/>
        <w:jc w:val="center"/>
        <w:tblLayout w:type="fixed"/>
        <w:tblLook w:val="04A0" w:firstRow="1" w:lastRow="0" w:firstColumn="1" w:lastColumn="0" w:noHBand="0" w:noVBand="1"/>
      </w:tblPr>
      <w:tblGrid>
        <w:gridCol w:w="2520"/>
        <w:gridCol w:w="7948"/>
      </w:tblGrid>
      <w:tr w:rsidR="00A62A3E" w14:paraId="708756AF"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7E2D3D5E" w14:textId="77777777" w:rsidR="00A62A3E" w:rsidRDefault="00000000">
            <w:pPr>
              <w:spacing w:after="0"/>
            </w:pPr>
            <w:r>
              <w:rPr>
                <w:b/>
                <w:color w:val="FFFFFF"/>
                <w:sz w:val="17"/>
              </w:rPr>
              <w:t>Document</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89829C6" w14:textId="77777777" w:rsidR="00A62A3E" w:rsidRDefault="00000000">
            <w:pPr>
              <w:spacing w:after="0"/>
            </w:pPr>
            <w:r>
              <w:rPr>
                <w:color w:val="000000"/>
                <w:sz w:val="17"/>
              </w:rPr>
              <w:t>Functional Requirements Document (FRD)</w:t>
            </w:r>
          </w:p>
        </w:tc>
      </w:tr>
      <w:tr w:rsidR="00A62A3E" w14:paraId="1CB7431C"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13157BE7" w14:textId="77777777" w:rsidR="00A62A3E" w:rsidRDefault="00000000">
            <w:pPr>
              <w:spacing w:after="0"/>
            </w:pPr>
            <w:r>
              <w:rPr>
                <w:b/>
                <w:color w:val="FFFFFF"/>
                <w:sz w:val="17"/>
              </w:rPr>
              <w:t>Module</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
            <w:r>
              <w:rPr>
                <w:b w:val="0"/>
                <w:sz w:val="16"/>
              </w:rPr>
              <w:t>M15 | Attendance Management</w:t>
            </w:r>
          </w:p>
        </w:tc>
      </w:tr>
      <w:tr w:rsidR="00A62A3E" w14:paraId="4A6C5C17"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3D9645A4" w14:textId="77777777" w:rsidR="00A62A3E" w:rsidRDefault="00000000">
            <w:pPr>
              <w:spacing w:after="0"/>
            </w:pPr>
            <w:r>
              <w:rPr>
                <w:b/>
                <w:color w:val="FFFFFF"/>
                <w:sz w:val="17"/>
              </w:rPr>
              <w:t>Version</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
              <w:t>1.0.1</w:t>
            </w:r>
            <w:r>
              <w:rPr>
                <w:b w:val="0"/>
                <w:sz w:val="16"/>
              </w:rPr>
            </w:r>
          </w:p>
        </w:tc>
      </w:tr>
      <w:tr w:rsidR="00A62A3E" w14:paraId="04BF5F76"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3A15B32D" w14:textId="77777777" w:rsidR="00A62A3E" w:rsidRDefault="00000000">
            <w:pPr>
              <w:spacing w:after="0"/>
            </w:pPr>
            <w:r>
              <w:rPr>
                <w:b/>
                <w:color w:val="FFFFFF"/>
                <w:sz w:val="17"/>
              </w:rPr>
              <w:t>Review date</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
              <w:t>19 October 2026</w:t>
            </w:r>
            <w:r>
              <w:rPr>
                <w:b w:val="0"/>
                <w:sz w:val="16"/>
              </w:rPr>
            </w:r>
          </w:p>
        </w:tc>
      </w:tr>
      <w:tr w:rsidR="00A62A3E" w14:paraId="07F4B091"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3CBDE6FE" w14:textId="77777777" w:rsidR="00A62A3E" w:rsidRDefault="00000000">
            <w:pPr>
              <w:spacing w:after="0"/>
            </w:pPr>
            <w:r>
              <w:rPr>
                <w:b/>
                <w:color w:val="FFFFFF"/>
                <w:sz w:val="17"/>
              </w:rPr>
              <w:t>Code baseline</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
              <w:t>bb104cee (19 October 2026)</w:t>
            </w:r>
            <w:r>
              <w:rPr>
                <w:b w:val="0"/>
                <w:sz w:val="16"/>
              </w:rPr>
            </w:r>
          </w:p>
        </w:tc>
      </w:tr>
      <w:tr w:rsidR="00A62A3E" w14:paraId="002FA76B"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51265AC7" w14:textId="77777777" w:rsidR="00A62A3E" w:rsidRDefault="00000000">
            <w:pPr>
              <w:spacing w:after="0"/>
            </w:pPr>
            <w:r>
              <w:rPr>
                <w:b/>
                <w:color w:val="FFFFFF"/>
                <w:sz w:val="17"/>
              </w:rPr>
              <w:t>Source MRD</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
              <w:t>XVS Module Requirements Document v2.108 | Module M15 | Attendance Management</w:t>
            </w:r>
            <w:r>
              <w:rPr>
                <w:b w:val="0"/>
                <w:sz w:val="16"/>
              </w:rPr>
            </w:r>
          </w:p>
        </w:tc>
      </w:tr>
      <w:tr w:rsidR="00A62A3E" w14:paraId="568E0EB5"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3F36713D" w14:textId="77777777" w:rsidR="00A62A3E" w:rsidRDefault="00000000">
            <w:pPr>
              <w:spacing w:after="0"/>
            </w:pPr>
            <w:r>
              <w:rPr>
                <w:b/>
                <w:color w:val="FFFFFF"/>
                <w:sz w:val="17"/>
              </w:rPr>
              <w:t>Primary app</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
            <w:r>
              <w:rPr>
                <w:b w:val="0"/>
                <w:sz w:val="16"/>
              </w:rPr>
              <w:t>schools.vs_attendance</w:t>
            </w:r>
          </w:p>
        </w:tc>
      </w:tr>
      <w:tr w:rsidR="00A62A3E" w14:paraId="7C13A4FA"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22D70A46" w14:textId="77777777" w:rsidR="00A62A3E" w:rsidRDefault="00000000">
            <w:pPr>
              <w:spacing w:after="0"/>
            </w:pPr>
            <w:r>
              <w:rPr>
                <w:b/>
                <w:color w:val="FFFFFF"/>
                <w:sz w:val="17"/>
              </w:rPr>
              <w:t>Supporting apps</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
            <w:r>
              <w:rPr>
                <w:b w:val="0"/>
                <w:sz w:val="16"/>
              </w:rPr>
              <w:t>schools.vs_students, schools.vs_staff, schools.vs_academics, schools.vs_calendar, vs_notifications, vs_config, vs_exports, vs_rbac</w:t>
            </w:r>
          </w:p>
        </w:tc>
      </w:tr>
      <w:tr w:rsidR="00A62A3E" w14:paraId="2ADF563D"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18AD0B2D" w14:textId="77777777" w:rsidR="00A62A3E" w:rsidRDefault="00000000">
            <w:pPr>
              <w:spacing w:after="0"/>
            </w:pPr>
            <w:r>
              <w:rPr>
                <w:b/>
                <w:color w:val="FFFFFF"/>
                <w:sz w:val="17"/>
              </w:rPr>
              <w:t>Status</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
            <w:r>
              <w:rPr>
                <w:b w:val="0"/>
                <w:sz w:val="16"/>
              </w:rPr>
              <w:t>In progress. Daily, lesson and staff registers, corrections, notices, reports and settings are implemented. All R1-R30 are implemented.</w:t>
            </w:r>
          </w:p>
        </w:tc>
      </w:tr>
      <w:tr w:rsidR="00A62A3E" w14:paraId="6528EEBD"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54FC2D03" w14:textId="77777777" w:rsidR="00A62A3E" w:rsidRDefault="00000000">
            <w:pPr>
              <w:spacing w:after="0"/>
            </w:pPr>
            <w:r>
              <w:rPr>
                <w:b/>
                <w:color w:val="FFFFFF"/>
                <w:sz w:val="17"/>
              </w:rPr>
              <w:t>Owner</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957B789" w14:textId="77777777" w:rsidR="00A62A3E" w:rsidRDefault="00000000">
            <w:pPr>
              <w:spacing w:after="0"/>
            </w:pPr>
            <w:r>
              <w:rPr>
                <w:color w:val="000000"/>
                <w:sz w:val="17"/>
              </w:rPr>
              <w:t>CodeX Team</w:t>
            </w:r>
          </w:p>
        </w:tc>
      </w:tr>
      <w:tr w:rsidR="00A62A3E" w14:paraId="732C6AAC" w14:textId="77777777">
        <w:trPr>
          <w:jc w:val="center"/>
        </w:trPr>
        <w:tc>
          <w:tcPr>
            <w:tcW w:w="10469" w:type="dxa"/>
            <w:gridSpan w:val="2"/>
            <w:tcBorders>
              <w:top w:val="single" w:sz="9" w:space="0" w:color="355B9D"/>
              <w:left w:val="single" w:sz="9" w:space="0" w:color="355B9D"/>
              <w:bottom w:val="single" w:sz="9" w:space="0" w:color="355B9D"/>
              <w:right w:val="single" w:sz="9" w:space="0" w:color="355B9D"/>
            </w:tcBorders>
            <w:shd w:val="clear" w:color="auto" w:fill="EAF0FA"/>
            <w:tcMar>
              <w:top w:w="100" w:type="dxa"/>
              <w:left w:w="120" w:type="dxa"/>
              <w:bottom w:w="100" w:type="dxa"/>
              <w:right w:w="120" w:type="dxa"/>
            </w:tcMar>
          </w:tcPr>
          <w:p>
            <w:r>
              <w:t>• Implemented means committed backend behavior at the stated baseline.</w:t>
              <w:br/>
              <w:t>• No frontend delivery, deployment or operational adoption is inferred.</w:t>
              <w:br/>
              <w:t>• All R1-R30 are implemented.</w:t>
            </w:r>
          </w:p>
        </w:tc>
      </w:tr>
    </w:tbl>
    <w:p w14:paraId="0A054924" w14:textId="77777777" w:rsidR="00A62A3E" w:rsidRDefault="00000000">
      <w:r>
        <w:br w:type="page"/>
      </w:r>
    </w:p>
    <w:p w14:paraId="07D398E9" w14:textId="77777777" w:rsidR="00A62A3E" w:rsidRDefault="00000000">
      <w:pPr>
        <w:pStyle w:val="Heading1"/>
        <w:keepNext/>
        <w:pBdr>
          <w:bottom w:val="single" w:sz="14" w:space="5" w:color="355B9D"/>
        </w:pBdr>
      </w:pPr>
      <w:r>
        <w:lastRenderedPageBreak/>
        <w:t>Table of Contents</w:t>
      </w:r>
    </w:p>
    <w:tbl>
      <w:tblPr>
        <w:tblW w:w="10468" w:type="dxa"/>
        <w:jc w:val="center"/>
        <w:tblLayout w:type="fixed"/>
        <w:tblLook w:val="04A0" w:firstRow="1" w:lastRow="0" w:firstColumn="1" w:lastColumn="0" w:noHBand="0" w:noVBand="1"/>
      </w:tblPr>
      <w:tblGrid>
        <w:gridCol w:w="3384"/>
        <w:gridCol w:w="7084"/>
      </w:tblGrid>
      <w:tr w:rsidR="00A62A3E" w14:paraId="07F4D2CE" w14:textId="77777777">
        <w:trPr>
          <w:tblHeader/>
          <w:jc w:val="center"/>
        </w:trPr>
        <w:tc>
          <w:tcPr>
            <w:tcW w:w="3384"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5B9DEA46" w14:textId="77777777" w:rsidR="00A62A3E" w:rsidRDefault="00000000">
            <w:pPr>
              <w:spacing w:after="0"/>
            </w:pPr>
            <w:r>
              <w:rPr>
                <w:b/>
                <w:color w:val="FFFFFF"/>
                <w:sz w:val="17"/>
              </w:rPr>
              <w:t>Section</w:t>
            </w:r>
          </w:p>
        </w:tc>
        <w:tc>
          <w:tcPr>
            <w:tcW w:w="7085"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54317225" w14:textId="77777777" w:rsidR="00A62A3E" w:rsidRDefault="00000000">
            <w:pPr>
              <w:spacing w:after="0"/>
            </w:pPr>
            <w:r>
              <w:rPr>
                <w:b/>
                <w:color w:val="FFFFFF"/>
                <w:sz w:val="17"/>
              </w:rPr>
              <w:t>Purpose</w:t>
            </w:r>
          </w:p>
        </w:tc>
      </w:tr>
      <w:tr>
        <w:tc>
          <w:tcPr>
            <w:tcW w:type="dxa" w:w="3384"/>
            <w:vAlign w:val="center"/>
          </w:tcPr>
          <w:p>
            <w:r/>
            <w:r>
              <w:rPr>
                <w:b w:val="0"/>
                <w:sz w:val="16"/>
              </w:rPr>
              <w:t>1. Purpose and Scope</w:t>
            </w:r>
          </w:p>
        </w:tc>
        <w:tc>
          <w:tcPr>
            <w:tcW w:type="dxa" w:w="7084"/>
            <w:vAlign w:val="center"/>
          </w:tcPr>
          <w:p>
            <w:r/>
            <w:r>
              <w:rPr>
                <w:b w:val="0"/>
                <w:sz w:val="16"/>
              </w:rPr>
              <w:t>What the module owns and the evidence boundary</w:t>
            </w:r>
          </w:p>
        </w:tc>
      </w:tr>
      <w:tr>
        <w:tc>
          <w:tcPr>
            <w:tcW w:type="dxa" w:w="3384"/>
            <w:vAlign w:val="center"/>
          </w:tcPr>
          <w:p>
            <w:r/>
            <w:r>
              <w:rPr>
                <w:b w:val="0"/>
                <w:sz w:val="16"/>
              </w:rPr>
              <w:t>2. Context and Status Model</w:t>
            </w:r>
          </w:p>
        </w:tc>
        <w:tc>
          <w:tcPr>
            <w:tcW w:type="dxa" w:w="7084"/>
            <w:vAlign w:val="center"/>
          </w:tcPr>
          <w:p>
            <w:r/>
            <w:r>
              <w:rPr>
                <w:b w:val="0"/>
                <w:sz w:val="16"/>
              </w:rPr>
              <w:t>Current implementation state and governing rules</w:t>
            </w:r>
          </w:p>
        </w:tc>
      </w:tr>
      <w:tr>
        <w:tc>
          <w:tcPr>
            <w:tcW w:type="dxa" w:w="3384"/>
            <w:vAlign w:val="center"/>
          </w:tcPr>
          <w:p>
            <w:r/>
            <w:r>
              <w:rPr>
                <w:b w:val="0"/>
                <w:sz w:val="16"/>
              </w:rPr>
              <w:t>3. Actors, Permissions, and Ownership</w:t>
            </w:r>
          </w:p>
        </w:tc>
        <w:tc>
          <w:tcPr>
            <w:tcW w:type="dxa" w:w="7084"/>
            <w:vAlign w:val="center"/>
          </w:tcPr>
          <w:p>
            <w:r/>
            <w:r>
              <w:rPr>
                <w:b w:val="0"/>
                <w:sz w:val="16"/>
              </w:rPr>
              <w:t>Who acts and what authorises them</w:t>
            </w:r>
          </w:p>
        </w:tc>
      </w:tr>
      <w:tr>
        <w:tc>
          <w:tcPr>
            <w:tcW w:type="dxa" w:w="3384"/>
            <w:vAlign w:val="center"/>
          </w:tcPr>
          <w:p>
            <w:r/>
            <w:r>
              <w:rPr>
                <w:b w:val="0"/>
                <w:sz w:val="16"/>
              </w:rPr>
              <w:t>4. Functional Requirements</w:t>
            </w:r>
          </w:p>
        </w:tc>
        <w:tc>
          <w:tcPr>
            <w:tcW w:type="dxa" w:w="7084"/>
            <w:vAlign w:val="center"/>
          </w:tcPr>
          <w:p>
            <w:r/>
            <w:r>
              <w:rPr>
                <w:b w:val="0"/>
                <w:sz w:val="16"/>
              </w:rPr>
              <w:t>Testable behavior, evidence and remaining limits</w:t>
            </w:r>
          </w:p>
        </w:tc>
      </w:tr>
      <w:tr>
        <w:tc>
          <w:tcPr>
            <w:tcW w:type="dxa" w:w="3384"/>
            <w:vAlign w:val="center"/>
          </w:tcPr>
          <w:p>
            <w:r/>
            <w:r>
              <w:rPr>
                <w:b w:val="0"/>
                <w:sz w:val="16"/>
              </w:rPr>
              <w:t>5. Workflows and Lifecycle Rules</w:t>
            </w:r>
          </w:p>
        </w:tc>
        <w:tc>
          <w:tcPr>
            <w:tcW w:type="dxa" w:w="7084"/>
            <w:vAlign w:val="center"/>
          </w:tcPr>
          <w:p>
            <w:r/>
            <w:r>
              <w:rPr>
                <w:b w:val="0"/>
                <w:sz w:val="16"/>
              </w:rPr>
              <w:t>State changes and decision points</w:t>
            </w:r>
          </w:p>
        </w:tc>
      </w:tr>
      <w:tr>
        <w:tc>
          <w:tcPr>
            <w:tcW w:type="dxa" w:w="3384"/>
            <w:vAlign w:val="center"/>
          </w:tcPr>
          <w:p>
            <w:r/>
            <w:r>
              <w:rPr>
                <w:b w:val="0"/>
                <w:sz w:val="16"/>
              </w:rPr>
              <w:t>6. Data Model and Relationships</w:t>
            </w:r>
          </w:p>
        </w:tc>
        <w:tc>
          <w:tcPr>
            <w:tcW w:type="dxa" w:w="7084"/>
            <w:vAlign w:val="center"/>
          </w:tcPr>
          <w:p>
            <w:r/>
            <w:r>
              <w:rPr>
                <w:b w:val="0"/>
                <w:sz w:val="16"/>
              </w:rPr>
              <w:t>Records owned and facts read from other modules</w:t>
            </w:r>
          </w:p>
        </w:tc>
      </w:tr>
      <w:tr>
        <w:tc>
          <w:tcPr>
            <w:tcW w:type="dxa" w:w="3384"/>
            <w:vAlign w:val="center"/>
          </w:tcPr>
          <w:p>
            <w:r/>
            <w:r>
              <w:rPr>
                <w:b w:val="0"/>
                <w:sz w:val="16"/>
              </w:rPr>
              <w:t>7. API and Validation Contracts</w:t>
            </w:r>
          </w:p>
        </w:tc>
        <w:tc>
          <w:tcPr>
            <w:tcW w:type="dxa" w:w="7084"/>
            <w:vAlign w:val="center"/>
          </w:tcPr>
          <w:p>
            <w:r/>
            <w:r>
              <w:rPr>
                <w:b w:val="0"/>
                <w:sz w:val="16"/>
              </w:rPr>
              <w:t>Routes, permissions and typed refusals</w:t>
            </w:r>
          </w:p>
        </w:tc>
      </w:tr>
      <w:tr>
        <w:tc>
          <w:tcPr>
            <w:tcW w:type="dxa" w:w="3384"/>
            <w:vAlign w:val="center"/>
          </w:tcPr>
          <w:p>
            <w:r/>
            <w:r>
              <w:rPr>
                <w:b w:val="0"/>
                <w:sz w:val="16"/>
              </w:rPr>
              <w:t>8. Field Access</w:t>
            </w:r>
          </w:p>
        </w:tc>
        <w:tc>
          <w:tcPr>
            <w:tcW w:type="dxa" w:w="7084"/>
            <w:vAlign w:val="center"/>
          </w:tcPr>
          <w:p>
            <w:r/>
            <w:r>
              <w:rPr>
                <w:b w:val="0"/>
                <w:sz w:val="16"/>
              </w:rPr>
              <w:t>Field-level read and write controls</w:t>
            </w:r>
          </w:p>
        </w:tc>
      </w:tr>
      <w:tr>
        <w:tc>
          <w:tcPr>
            <w:tcW w:type="dxa" w:w="3384"/>
            <w:vAlign w:val="center"/>
          </w:tcPr>
          <w:p>
            <w:r/>
            <w:r>
              <w:rPr>
                <w:b w:val="0"/>
                <w:sz w:val="16"/>
              </w:rPr>
              <w:t>9. Dependencies and Operational Evidence</w:t>
            </w:r>
          </w:p>
        </w:tc>
        <w:tc>
          <w:tcPr>
            <w:tcW w:type="dxa" w:w="7084"/>
            <w:vAlign w:val="center"/>
          </w:tcPr>
          <w:p>
            <w:r/>
            <w:r>
              <w:rPr>
                <w:b w:val="0"/>
                <w:sz w:val="16"/>
              </w:rPr>
              <w:t>Required modules and deployment facts</w:t>
            </w:r>
          </w:p>
        </w:tc>
      </w:tr>
      <w:tr>
        <w:tc>
          <w:tcPr>
            <w:tcW w:type="dxa" w:w="3384"/>
            <w:vAlign w:val="center"/>
          </w:tcPr>
          <w:p>
            <w:r/>
            <w:r>
              <w:rPr>
                <w:b w:val="0"/>
                <w:sz w:val="16"/>
              </w:rPr>
              <w:t>10. Needs Attention</w:t>
            </w:r>
          </w:p>
        </w:tc>
        <w:tc>
          <w:tcPr>
            <w:tcW w:type="dxa" w:w="7084"/>
            <w:vAlign w:val="center"/>
          </w:tcPr>
          <w:p>
            <w:r/>
            <w:r>
              <w:rPr>
                <w:b w:val="0"/>
                <w:sz w:val="16"/>
              </w:rPr>
              <w:t>Current gaps only</w:t>
            </w:r>
          </w:p>
        </w:tc>
      </w:tr>
      <w:tr>
        <w:tc>
          <w:tcPr>
            <w:tcW w:type="dxa" w:w="3384"/>
            <w:vAlign w:val="center"/>
          </w:tcPr>
          <w:p>
            <w:r/>
            <w:r>
              <w:rPr>
                <w:b w:val="0"/>
                <w:sz w:val="16"/>
              </w:rPr>
              <w:t>11. MRD Traceability</w:t>
            </w:r>
          </w:p>
        </w:tc>
        <w:tc>
          <w:tcPr>
            <w:tcW w:type="dxa" w:w="7084"/>
            <w:vAlign w:val="center"/>
          </w:tcPr>
          <w:p>
            <w:r/>
            <w:r>
              <w:rPr>
                <w:b w:val="0"/>
                <w:sz w:val="16"/>
              </w:rPr>
              <w:t>Capability mapping</w:t>
            </w:r>
          </w:p>
        </w:tc>
      </w:tr>
      <w:tr>
        <w:tc>
          <w:tcPr>
            <w:tcW w:type="dxa" w:w="3384"/>
            <w:vAlign w:val="center"/>
          </w:tcPr>
          <w:p>
            <w:r/>
            <w:r>
              <w:rPr>
                <w:b w:val="0"/>
                <w:sz w:val="16"/>
              </w:rPr>
              <w:t>12. Change Log</w:t>
            </w:r>
          </w:p>
        </w:tc>
        <w:tc>
          <w:tcPr>
            <w:tcW w:type="dxa" w:w="7084"/>
            <w:vAlign w:val="center"/>
          </w:tcPr>
          <w:p>
            <w:r/>
            <w:r>
              <w:rPr>
                <w:b w:val="0"/>
                <w:sz w:val="16"/>
              </w:rPr>
              <w:t>Independent FRD revision history</w:t>
            </w:r>
          </w:p>
        </w:tc>
      </w:tr>
    </w:tbl>
    <w:p w14:paraId="5F49CB47" w14:textId="77777777" w:rsidR="00A62A3E" w:rsidRDefault="00000000">
      <w:r>
        <w:br w:type="page"/>
      </w:r>
    </w:p>
    <w:p>
      <w:pPr>
        <w:pStyle w:val="Heading1"/>
      </w:pPr>
      <w:r>
        <w:t>1. Purpose and Scope</w:t>
      </w:r>
    </w:p>
    <w:p>
      <w:r>
        <w:t>Module 15 records student and staff attendance for the school day and for published timetable lessons. It owns marks, corrections, reason codes, reminders and attendance summaries. It reads pupils, staff, classes, terms, leave and calendar closures from their owning school modules.</w:t>
      </w:r>
    </w:p>
    <w:p>
      <w:pPr>
        <w:pStyle w:val="Heading1"/>
      </w:pPr>
      <w:r>
        <w:t>2. Context and Status Model</w:t>
      </w:r>
    </w:p>
    <w:p>
      <w:r>
        <w:t>Builds 1 and 2 are committed. All thirty approved requirements are implemented. A register is due only for an open day and a real roster. Marks are Present, Late, Absent or Excused; lesson marks omit Excused and staff leave is a locked fact read from Staff Management.</w:t>
      </w:r>
    </w:p>
    <w:p>
      <w:pPr>
        <w:pStyle w:val="Heading1"/>
      </w:pPr>
      <w:r>
        <w:t>3. Actors, Permissions, and Ownership</w:t>
      </w:r>
    </w:p>
    <w:tbl>
      <w:tblPr>
        <w:tblW w:type="auto" w:w="0"/>
        <w:tblLook w:firstColumn="1" w:firstRow="1" w:lastColumn="0" w:lastRow="0" w:noHBand="0" w:noVBand="1" w:val="04A0"/>
      </w:tblPr>
      <w:tblGrid>
        <w:gridCol w:w="3489"/>
        <w:gridCol w:w="3489"/>
        <w:gridCol w:w="3489"/>
      </w:tblGrid>
      <w:tr>
        <w:trPr>
          <w:tblHeader w:val="true"/>
        </w:trPr>
        <w:tc>
          <w:tcPr>
            <w:tcW w:type="dxa" w:w="3489"/>
            <w:shd w:fill="1F4E78"/>
            <w:vAlign w:val="center"/>
          </w:tcPr>
          <w:p>
            <w:r/>
            <w:r>
              <w:rPr>
                <w:b/>
                <w:color w:val="FFFFFF"/>
                <w:sz w:val="16"/>
              </w:rPr>
              <w:t>Actor</w:t>
            </w:r>
          </w:p>
        </w:tc>
        <w:tc>
          <w:tcPr>
            <w:tcW w:type="dxa" w:w="3489"/>
            <w:shd w:fill="1F4E78"/>
            <w:vAlign w:val="center"/>
          </w:tcPr>
          <w:p>
            <w:r/>
            <w:r>
              <w:rPr>
                <w:b/>
                <w:color w:val="FFFFFF"/>
                <w:sz w:val="16"/>
              </w:rPr>
              <w:t>May do</w:t>
            </w:r>
          </w:p>
        </w:tc>
        <w:tc>
          <w:tcPr>
            <w:tcW w:type="dxa" w:w="3489"/>
            <w:shd w:fill="1F4E78"/>
            <w:vAlign w:val="center"/>
          </w:tcPr>
          <w:p>
            <w:r/>
            <w:r>
              <w:rPr>
                <w:b/>
                <w:color w:val="FFFFFF"/>
                <w:sz w:val="16"/>
              </w:rPr>
              <w:t>Governed by</w:t>
            </w:r>
          </w:p>
        </w:tc>
      </w:tr>
      <w:tr>
        <w:tc>
          <w:tcPr>
            <w:tcW w:type="dxa" w:w="3489"/>
            <w:vAlign w:val="center"/>
          </w:tcPr>
          <w:p>
            <w:r/>
            <w:r>
              <w:rPr>
                <w:b w:val="0"/>
                <w:sz w:val="16"/>
              </w:rPr>
              <w:t>Teacher</w:t>
            </w:r>
          </w:p>
        </w:tc>
        <w:tc>
          <w:tcPr>
            <w:tcW w:type="dxa" w:w="3489"/>
            <w:vAlign w:val="center"/>
          </w:tcPr>
          <w:p>
            <w:r/>
            <w:r>
              <w:rPr>
                <w:b w:val="0"/>
                <w:sz w:val="16"/>
              </w:rPr>
              <w:t>Take their own class and lesson registers; request corrections</w:t>
            </w:r>
          </w:p>
        </w:tc>
        <w:tc>
          <w:tcPr>
            <w:tcW w:type="dxa" w:w="3489"/>
            <w:vAlign w:val="center"/>
          </w:tcPr>
          <w:p>
            <w:r/>
            <w:r>
              <w:rPr>
                <w:b w:val="0"/>
                <w:sz w:val="16"/>
              </w:rPr>
              <w:t>attendance.register.mark and domain ownership</w:t>
            </w:r>
          </w:p>
        </w:tc>
      </w:tr>
      <w:tr>
        <w:tc>
          <w:tcPr>
            <w:tcW w:type="dxa" w:w="3489"/>
            <w:vAlign w:val="center"/>
            <w:shd w:fill="EAF2F8"/>
          </w:tcPr>
          <w:p>
            <w:r/>
            <w:r>
              <w:rPr>
                <w:b w:val="0"/>
                <w:sz w:val="16"/>
              </w:rPr>
              <w:t>Branch administrator</w:t>
            </w:r>
          </w:p>
        </w:tc>
        <w:tc>
          <w:tcPr>
            <w:tcW w:type="dxa" w:w="3489"/>
            <w:vAlign w:val="center"/>
            <w:shd w:fill="EAF2F8"/>
          </w:tcPr>
          <w:p>
            <w:r/>
            <w:r>
              <w:rPr>
                <w:b w:val="0"/>
                <w:sz w:val="16"/>
              </w:rPr>
              <w:t>Take registers in reached branches, decide corrections, remind and report</w:t>
            </w:r>
          </w:p>
        </w:tc>
        <w:tc>
          <w:tcPr>
            <w:tcW w:type="dxa" w:w="3489"/>
            <w:vAlign w:val="center"/>
            <w:shd w:fill="EAF2F8"/>
          </w:tcPr>
          <w:p>
            <w:r/>
            <w:r>
              <w:rPr>
                <w:b w:val="0"/>
                <w:sz w:val="16"/>
              </w:rPr>
              <w:t>mark_any, correction, reminder and report keys plus branch reach</w:t>
            </w:r>
          </w:p>
        </w:tc>
      </w:tr>
      <w:tr>
        <w:tc>
          <w:tcPr>
            <w:tcW w:type="dxa" w:w="3489"/>
            <w:vAlign w:val="center"/>
          </w:tcPr>
          <w:p>
            <w:r/>
            <w:r>
              <w:rPr>
                <w:b w:val="0"/>
                <w:sz w:val="16"/>
              </w:rPr>
              <w:t>School administrator</w:t>
            </w:r>
          </w:p>
        </w:tc>
        <w:tc>
          <w:tcPr>
            <w:tcW w:type="dxa" w:w="3489"/>
            <w:vAlign w:val="center"/>
          </w:tcPr>
          <w:p>
            <w:r/>
            <w:r>
              <w:rPr>
                <w:b w:val="0"/>
                <w:sz w:val="16"/>
              </w:rPr>
              <w:t>Manage school-wide settings, reasons and every register</w:t>
            </w:r>
          </w:p>
        </w:tc>
        <w:tc>
          <w:tcPr>
            <w:tcW w:type="dxa" w:w="3489"/>
            <w:vAlign w:val="center"/>
          </w:tcPr>
          <w:p>
            <w:r/>
            <w:r>
              <w:rPr>
                <w:b w:val="0"/>
                <w:sz w:val="16"/>
              </w:rPr>
              <w:t>settings and all attendance keys</w:t>
            </w:r>
          </w:p>
        </w:tc>
      </w:tr>
      <w:tr>
        <w:tc>
          <w:tcPr>
            <w:tcW w:type="dxa" w:w="3489"/>
            <w:vAlign w:val="center"/>
            <w:shd w:fill="EAF2F8"/>
          </w:tcPr>
          <w:p>
            <w:r/>
            <w:r>
              <w:rPr>
                <w:b w:val="0"/>
                <w:sz w:val="16"/>
              </w:rPr>
              <w:t>Guardian</w:t>
            </w:r>
          </w:p>
        </w:tc>
        <w:tc>
          <w:tcPr>
            <w:tcW w:type="dxa" w:w="3489"/>
            <w:vAlign w:val="center"/>
            <w:shd w:fill="EAF2F8"/>
          </w:tcPr>
          <w:p>
            <w:r/>
            <w:r>
              <w:rPr>
                <w:b w:val="0"/>
                <w:sz w:val="16"/>
              </w:rPr>
              <w:t>Receives absence and correction notices; no staff attendance access</w:t>
            </w:r>
          </w:p>
        </w:tc>
        <w:tc>
          <w:tcPr>
            <w:tcW w:type="dxa" w:w="3489"/>
            <w:vAlign w:val="center"/>
            <w:shd w:fill="EAF2F8"/>
          </w:tcPr>
          <w:p>
            <w:r/>
            <w:r>
              <w:rPr>
                <w:b w:val="0"/>
                <w:sz w:val="16"/>
              </w:rPr>
              <w:t>Primary guardian relationship and notification delivery</w:t>
            </w:r>
          </w:p>
        </w:tc>
      </w:tr>
    </w:tbl>
    <w:p/>
    <w:p>
      <w:pPr>
        <w:pStyle w:val="Heading1"/>
      </w:pPr>
      <w:r>
        <w:t>4. Functional Requirements</w:t>
      </w:r>
    </w:p>
    <w:p>
      <w:pPr>
        <w:pStyle w:val="Heading2"/>
      </w:pPr>
      <w:r>
        <w:t>FR-001 Marks, roster and open days</w:t>
      </w:r>
    </w:p>
    <w:tbl>
      <w:tblPr>
        <w:tblW w:type="auto" w:w="0"/>
        <w:tblLook w:firstColumn="1" w:firstRow="1" w:lastColumn="0" w:lastRow="0" w:noHBand="0" w:noVBand="1" w:val="04A0"/>
      </w:tblPr>
      <w:tblGrid>
        <w:gridCol w:w="5233"/>
        <w:gridCol w:w="5233"/>
      </w:tblGrid>
      <w:tr>
        <w:tc>
          <w:tcPr>
            <w:tcW w:type="dxa" w:w="10466"/>
            <w:gridSpan w:val="2"/>
            <w:shd w:fill="D9EAD3"/>
            <w:vAlign w:val="center"/>
          </w:tcPr>
          <w:p>
            <w:r/>
            <w:r>
              <w:rPr>
                <w:b/>
                <w:sz w:val="16"/>
              </w:rPr>
              <w:t>FR-001 | Implemented</w:t>
            </w:r>
          </w:p>
        </w:tc>
      </w:tr>
      <w:tr>
        <w:tc>
          <w:tcPr>
            <w:tcW w:type="dxa" w:w="5233"/>
            <w:vAlign w:val="center"/>
          </w:tcPr>
          <w:p>
            <w:r/>
            <w:r>
              <w:rPr>
                <w:b/>
                <w:sz w:val="16"/>
              </w:rPr>
              <w:t>Requirement</w:t>
            </w:r>
          </w:p>
        </w:tc>
        <w:tc>
          <w:tcPr>
            <w:tcW w:type="dxa" w:w="5233"/>
            <w:vAlign w:val="center"/>
          </w:tcPr>
          <w:p>
            <w:r/>
            <w:r>
              <w:rPr>
                <w:b w:val="0"/>
                <w:sz w:val="16"/>
              </w:rPr>
              <w:t>R1-R6. Marks, rates, closures, suspension and the as-at class roll follow the approved definitions.</w:t>
            </w:r>
          </w:p>
        </w:tc>
      </w:tr>
      <w:tr>
        <w:tc>
          <w:tcPr>
            <w:tcW w:type="dxa" w:w="5233"/>
            <w:vAlign w:val="center"/>
          </w:tcPr>
          <w:p>
            <w:r/>
            <w:r>
              <w:rPr>
                <w:b/>
                <w:sz w:val="16"/>
              </w:rPr>
              <w:t>Current evidence</w:t>
            </w:r>
          </w:p>
        </w:tc>
        <w:tc>
          <w:tcPr>
            <w:tcW w:type="dxa" w:w="5233"/>
            <w:vAlign w:val="center"/>
          </w:tcPr>
          <w:p>
            <w:r/>
            <w:r>
              <w:rPr>
                <w:b w:val="0"/>
                <w:sz w:val="16"/>
              </w:rPr>
              <w:t>Daily register services use calendar closures, placement history and status as at the register date.</w:t>
            </w:r>
          </w:p>
        </w:tc>
      </w:tr>
      <w:tr>
        <w:tc>
          <w:tcPr>
            <w:tcW w:type="dxa" w:w="5233"/>
            <w:vAlign w:val="center"/>
          </w:tcPr>
          <w:p>
            <w:r/>
            <w:r>
              <w:rPr>
                <w:b/>
                <w:sz w:val="16"/>
              </w:rPr>
              <w:t>Acceptance</w:t>
            </w:r>
          </w:p>
        </w:tc>
        <w:tc>
          <w:tcPr>
            <w:tcW w:type="dxa" w:w="5233"/>
            <w:vAlign w:val="center"/>
          </w:tcPr>
          <w:p>
            <w:r/>
            <w:r>
              <w:rPr>
                <w:b w:val="0"/>
                <w:sz w:val="16"/>
              </w:rPr>
              <w:t>Late counts as present; untaken days are excluded; suspended pupils are locked and uncounted.</w:t>
            </w:r>
          </w:p>
        </w:tc>
      </w:tr>
      <w:tr>
        <w:tc>
          <w:tcPr>
            <w:tcW w:type="dxa" w:w="5233"/>
            <w:vAlign w:val="center"/>
          </w:tcPr>
          <w:p>
            <w:r/>
            <w:r>
              <w:rPr>
                <w:b/>
                <w:sz w:val="16"/>
              </w:rPr>
              <w:t>Current limit</w:t>
            </w:r>
          </w:p>
        </w:tc>
        <w:tc>
          <w:tcPr>
            <w:tcW w:type="dxa" w:w="5233"/>
            <w:vAlign w:val="center"/>
          </w:tcPr>
          <w:p>
            <w:r/>
            <w:r>
              <w:rPr>
                <w:b w:val="0"/>
                <w:sz w:val="16"/>
              </w:rPr>
              <w:t>None.</w:t>
            </w:r>
          </w:p>
        </w:tc>
      </w:tr>
    </w:tbl>
    <w:p/>
    <w:p>
      <w:pPr>
        <w:pStyle w:val="Heading2"/>
      </w:pPr>
      <w:r>
        <w:t>FR-002 Taking and closing a register</w:t>
      </w:r>
    </w:p>
    <w:tbl>
      <w:tblPr>
        <w:tblW w:type="auto" w:w="0"/>
        <w:tblLook w:firstColumn="1" w:firstRow="1" w:lastColumn="0" w:lastRow="0" w:noHBand="0" w:noVBand="1" w:val="04A0"/>
      </w:tblPr>
      <w:tblGrid>
        <w:gridCol w:w="5233"/>
        <w:gridCol w:w="5233"/>
      </w:tblGrid>
      <w:tr>
        <w:tc>
          <w:tcPr>
            <w:tcW w:type="dxa" w:w="10466"/>
            <w:gridSpan w:val="2"/>
            <w:shd w:fill="D9EAD3"/>
            <w:vAlign w:val="center"/>
          </w:tcPr>
          <w:p>
            <w:r/>
            <w:r>
              <w:rPr>
                <w:b/>
                <w:sz w:val="16"/>
              </w:rPr>
              <w:t>FR-002 | Implemented</w:t>
            </w:r>
          </w:p>
        </w:tc>
      </w:tr>
      <w:tr>
        <w:tc>
          <w:tcPr>
            <w:tcW w:type="dxa" w:w="5233"/>
            <w:vAlign w:val="center"/>
          </w:tcPr>
          <w:p>
            <w:r/>
            <w:r>
              <w:rPr>
                <w:b/>
                <w:sz w:val="16"/>
              </w:rPr>
              <w:t>Requirement</w:t>
            </w:r>
          </w:p>
        </w:tc>
        <w:tc>
          <w:tcPr>
            <w:tcW w:type="dxa" w:w="5233"/>
            <w:vAlign w:val="center"/>
          </w:tcPr>
          <w:p>
            <w:r/>
            <w:r>
              <w:rPr>
                <w:b w:val="0"/>
                <w:sz w:val="16"/>
              </w:rPr>
              <w:t>R7-R11. Every unlocked row is marked before submit; submit records who acted; same-day edits keep history; closed days require correction; teachers act only on their own class or lesson unless they hold mark_any.</w:t>
            </w:r>
          </w:p>
        </w:tc>
      </w:tr>
      <w:tr>
        <w:tc>
          <w:tcPr>
            <w:tcW w:type="dxa" w:w="5233"/>
            <w:vAlign w:val="center"/>
          </w:tcPr>
          <w:p>
            <w:r/>
            <w:r>
              <w:rPr>
                <w:b/>
                <w:sz w:val="16"/>
              </w:rPr>
              <w:t>Current evidence</w:t>
            </w:r>
          </w:p>
        </w:tc>
        <w:tc>
          <w:tcPr>
            <w:tcW w:type="dxa" w:w="5233"/>
            <w:vAlign w:val="center"/>
          </w:tcPr>
          <w:p>
            <w:r/>
            <w:r>
              <w:rPr>
                <w:b w:val="0"/>
                <w:sz w:val="16"/>
              </w:rPr>
              <w:t>Daily and lesson endpoints enforce row completion, ownership, edit window and branch reach.</w:t>
            </w:r>
          </w:p>
        </w:tc>
      </w:tr>
      <w:tr>
        <w:tc>
          <w:tcPr>
            <w:tcW w:type="dxa" w:w="5233"/>
            <w:vAlign w:val="center"/>
          </w:tcPr>
          <w:p>
            <w:r/>
            <w:r>
              <w:rPr>
                <w:b/>
                <w:sz w:val="16"/>
              </w:rPr>
              <w:t>Acceptance</w:t>
            </w:r>
          </w:p>
        </w:tc>
        <w:tc>
          <w:tcPr>
            <w:tcW w:type="dxa" w:w="5233"/>
            <w:vAlign w:val="center"/>
          </w:tcPr>
          <w:p>
            <w:r/>
            <w:r>
              <w:rPr>
                <w:b w:val="0"/>
                <w:sz w:val="16"/>
              </w:rPr>
              <w:t>Another tenant or unreachable class is 404; a future register is refused; every change remains attributable.</w:t>
            </w:r>
          </w:p>
        </w:tc>
      </w:tr>
      <w:tr>
        <w:tc>
          <w:tcPr>
            <w:tcW w:type="dxa" w:w="5233"/>
            <w:vAlign w:val="center"/>
          </w:tcPr>
          <w:p>
            <w:r/>
            <w:r>
              <w:rPr>
                <w:b/>
                <w:sz w:val="16"/>
              </w:rPr>
              <w:t>Current limit</w:t>
            </w:r>
          </w:p>
        </w:tc>
        <w:tc>
          <w:tcPr>
            <w:tcW w:type="dxa" w:w="5233"/>
            <w:vAlign w:val="center"/>
          </w:tcPr>
          <w:p>
            <w:r/>
            <w:r>
              <w:rPr>
                <w:b w:val="0"/>
                <w:sz w:val="16"/>
              </w:rPr>
              <w:t>None.</w:t>
            </w:r>
          </w:p>
        </w:tc>
      </w:tr>
    </w:tbl>
    <w:p/>
    <w:p>
      <w:pPr>
        <w:pStyle w:val="Heading2"/>
      </w:pPr>
      <w:r>
        <w:t>FR-003 Guardian absence notices</w:t>
      </w:r>
    </w:p>
    <w:tbl>
      <w:tblPr>
        <w:tblW w:type="auto" w:w="0"/>
        <w:tblLook w:firstColumn="1" w:firstRow="1" w:lastColumn="0" w:lastRow="0" w:noHBand="0" w:noVBand="1" w:val="04A0"/>
      </w:tblPr>
      <w:tblGrid>
        <w:gridCol w:w="5233"/>
        <w:gridCol w:w="5233"/>
      </w:tblGrid>
      <w:tr>
        <w:tc>
          <w:tcPr>
            <w:tcW w:type="dxa" w:w="10466"/>
            <w:gridSpan w:val="2"/>
            <w:shd w:fill="D9EAD3"/>
            <w:vAlign w:val="center"/>
          </w:tcPr>
          <w:p>
            <w:r/>
            <w:r>
              <w:rPr>
                <w:b/>
                <w:sz w:val="16"/>
              </w:rPr>
              <w:t>FR-003 | Implemented</w:t>
            </w:r>
          </w:p>
        </w:tc>
      </w:tr>
      <w:tr>
        <w:tc>
          <w:tcPr>
            <w:tcW w:type="dxa" w:w="5233"/>
            <w:vAlign w:val="center"/>
          </w:tcPr>
          <w:p>
            <w:r/>
            <w:r>
              <w:rPr>
                <w:b/>
                <w:sz w:val="16"/>
              </w:rPr>
              <w:t>Requirement</w:t>
            </w:r>
          </w:p>
        </w:tc>
        <w:tc>
          <w:tcPr>
            <w:tcW w:type="dxa" w:w="5233"/>
            <w:vAlign w:val="center"/>
          </w:tcPr>
          <w:p>
            <w:r/>
            <w:r>
              <w:rPr>
                <w:b w:val="0"/>
                <w:sz w:val="16"/>
              </w:rPr>
              <w:t>R12-R15. One notice per absent child per day goes to the primary guardian when enabled, with correction notices when the mark moves away from absent.</w:t>
            </w:r>
          </w:p>
        </w:tc>
      </w:tr>
      <w:tr>
        <w:tc>
          <w:tcPr>
            <w:tcW w:type="dxa" w:w="5233"/>
            <w:vAlign w:val="center"/>
          </w:tcPr>
          <w:p>
            <w:r/>
            <w:r>
              <w:rPr>
                <w:b/>
                <w:sz w:val="16"/>
              </w:rPr>
              <w:t>Current evidence</w:t>
            </w:r>
          </w:p>
        </w:tc>
        <w:tc>
          <w:tcPr>
            <w:tcW w:type="dxa" w:w="5233"/>
            <w:vAlign w:val="center"/>
          </w:tcPr>
          <w:p>
            <w:r/>
            <w:r>
              <w:rPr>
                <w:b w:val="0"/>
                <w:sz w:val="16"/>
              </w:rPr>
              <w:t>Submit preview counts reachable guardians and stores Sent, No email, Off or None state.</w:t>
            </w:r>
          </w:p>
        </w:tc>
      </w:tr>
      <w:tr>
        <w:tc>
          <w:tcPr>
            <w:tcW w:type="dxa" w:w="5233"/>
            <w:vAlign w:val="center"/>
          </w:tcPr>
          <w:p>
            <w:r/>
            <w:r>
              <w:rPr>
                <w:b/>
                <w:sz w:val="16"/>
              </w:rPr>
              <w:t>Acceptance</w:t>
            </w:r>
          </w:p>
        </w:tc>
        <w:tc>
          <w:tcPr>
            <w:tcW w:type="dxa" w:w="5233"/>
            <w:vAlign w:val="center"/>
          </w:tcPr>
          <w:p>
            <w:r/>
            <w:r>
              <w:rPr>
                <w:b w:val="0"/>
                <w:sz w:val="16"/>
              </w:rPr>
              <w:t>Late and Excused send nothing; no email is recorded as a state; duplicate notice is refused.</w:t>
            </w:r>
          </w:p>
        </w:tc>
      </w:tr>
      <w:tr>
        <w:tc>
          <w:tcPr>
            <w:tcW w:type="dxa" w:w="5233"/>
            <w:vAlign w:val="center"/>
          </w:tcPr>
          <w:p>
            <w:r/>
            <w:r>
              <w:rPr>
                <w:b/>
                <w:sz w:val="16"/>
              </w:rPr>
              <w:t>Current limit</w:t>
            </w:r>
          </w:p>
        </w:tc>
        <w:tc>
          <w:tcPr>
            <w:tcW w:type="dxa" w:w="5233"/>
            <w:vAlign w:val="center"/>
          </w:tcPr>
          <w:p>
            <w:r/>
            <w:r>
              <w:rPr>
                <w:b w:val="0"/>
                <w:sz w:val="16"/>
              </w:rPr>
              <w:t>Student names on registers deliberately remain outside student-name Field Access switches.</w:t>
            </w:r>
          </w:p>
        </w:tc>
      </w:tr>
    </w:tbl>
    <w:p/>
    <w:p>
      <w:pPr>
        <w:pStyle w:val="Heading2"/>
      </w:pPr>
      <w:r>
        <w:t>FR-004 Corrections</w:t>
      </w:r>
    </w:p>
    <w:tbl>
      <w:tblPr>
        <w:tblW w:type="auto" w:w="0"/>
        <w:tblLook w:firstColumn="1" w:firstRow="1" w:lastColumn="0" w:lastRow="0" w:noHBand="0" w:noVBand="1" w:val="04A0"/>
      </w:tblPr>
      <w:tblGrid>
        <w:gridCol w:w="5233"/>
        <w:gridCol w:w="5233"/>
      </w:tblGrid>
      <w:tr>
        <w:tc>
          <w:tcPr>
            <w:tcW w:type="dxa" w:w="10466"/>
            <w:gridSpan w:val="2"/>
            <w:shd w:fill="D9EAD3"/>
            <w:vAlign w:val="center"/>
          </w:tcPr>
          <w:p>
            <w:r/>
            <w:r>
              <w:rPr>
                <w:b/>
                <w:sz w:val="16"/>
              </w:rPr>
              <w:t>FR-004 | Implemented</w:t>
            </w:r>
          </w:p>
        </w:tc>
      </w:tr>
      <w:tr>
        <w:tc>
          <w:tcPr>
            <w:tcW w:type="dxa" w:w="5233"/>
            <w:vAlign w:val="center"/>
          </w:tcPr>
          <w:p>
            <w:r/>
            <w:r>
              <w:rPr>
                <w:b/>
                <w:sz w:val="16"/>
              </w:rPr>
              <w:t>Requirement</w:t>
            </w:r>
          </w:p>
        </w:tc>
        <w:tc>
          <w:tcPr>
            <w:tcW w:type="dxa" w:w="5233"/>
            <w:vAlign w:val="center"/>
          </w:tcPr>
          <w:p>
            <w:r/>
            <w:r>
              <w:rPr>
                <w:b w:val="0"/>
                <w:sz w:val="16"/>
              </w:rPr>
              <w:t>R16-R17. A correction records the old and requested mark, reason, note, requester and one-step attendance decision.</w:t>
            </w:r>
          </w:p>
        </w:tc>
      </w:tr>
      <w:tr>
        <w:tc>
          <w:tcPr>
            <w:tcW w:type="dxa" w:w="5233"/>
            <w:vAlign w:val="center"/>
          </w:tcPr>
          <w:p>
            <w:r/>
            <w:r>
              <w:rPr>
                <w:b/>
                <w:sz w:val="16"/>
              </w:rPr>
              <w:t>Current evidence</w:t>
            </w:r>
          </w:p>
        </w:tc>
        <w:tc>
          <w:tcPr>
            <w:tcW w:type="dxa" w:w="5233"/>
            <w:vAlign w:val="center"/>
          </w:tcPr>
          <w:p>
            <w:r/>
            <w:r>
              <w:rPr>
                <w:b w:val="0"/>
                <w:sz w:val="16"/>
              </w:rPr>
              <w:t>Waiting and decided queues, nav count, approve and reject actions are implemented in Module 15.</w:t>
            </w:r>
          </w:p>
        </w:tc>
      </w:tr>
      <w:tr>
        <w:tc>
          <w:tcPr>
            <w:tcW w:type="dxa" w:w="5233"/>
            <w:vAlign w:val="center"/>
          </w:tcPr>
          <w:p>
            <w:r/>
            <w:r>
              <w:rPr>
                <w:b/>
                <w:sz w:val="16"/>
              </w:rPr>
              <w:t>Acceptance</w:t>
            </w:r>
          </w:p>
        </w:tc>
        <w:tc>
          <w:tcPr>
            <w:tcW w:type="dxa" w:w="5233"/>
            <w:vAlign w:val="center"/>
          </w:tcPr>
          <w:p>
            <w:r/>
            <w:r>
              <w:rPr>
                <w:b w:val="0"/>
                <w:sz w:val="16"/>
              </w:rPr>
              <w:t>Approval changes the mark and keeps history; rejection leaves the mark and keeps the decision.</w:t>
            </w:r>
          </w:p>
        </w:tc>
      </w:tr>
      <w:tr>
        <w:tc>
          <w:tcPr>
            <w:tcW w:type="dxa" w:w="5233"/>
            <w:vAlign w:val="center"/>
          </w:tcPr>
          <w:p>
            <w:r/>
            <w:r>
              <w:rPr>
                <w:b/>
                <w:sz w:val="16"/>
              </w:rPr>
              <w:t>Current limit</w:t>
            </w:r>
          </w:p>
        </w:tc>
        <w:tc>
          <w:tcPr>
            <w:tcW w:type="dxa" w:w="5233"/>
            <w:vAlign w:val="center"/>
          </w:tcPr>
          <w:p>
            <w:r/>
            <w:r>
              <w:rPr>
                <w:b w:val="0"/>
                <w:sz w:val="16"/>
              </w:rPr>
              <w:t>No generic workflow template is used, by decision.</w:t>
            </w:r>
          </w:p>
        </w:tc>
      </w:tr>
    </w:tbl>
    <w:p/>
    <w:p>
      <w:pPr>
        <w:pStyle w:val="Heading2"/>
      </w:pPr>
      <w:r>
        <w:t>FR-005 Lesson registers</w:t>
      </w:r>
    </w:p>
    <w:tbl>
      <w:tblPr>
        <w:tblW w:type="auto" w:w="0"/>
        <w:tblLook w:firstColumn="1" w:firstRow="1" w:lastColumn="0" w:lastRow="0" w:noHBand="0" w:noVBand="1" w:val="04A0"/>
      </w:tblPr>
      <w:tblGrid>
        <w:gridCol w:w="5233"/>
        <w:gridCol w:w="5233"/>
      </w:tblGrid>
      <w:tr>
        <w:tc>
          <w:tcPr>
            <w:tcW w:type="dxa" w:w="10466"/>
            <w:gridSpan w:val="2"/>
            <w:shd w:fill="D9EAD3"/>
            <w:vAlign w:val="center"/>
          </w:tcPr>
          <w:p>
            <w:r/>
            <w:r>
              <w:rPr>
                <w:b/>
                <w:sz w:val="16"/>
              </w:rPr>
              <w:t>FR-005 | Implemented</w:t>
            </w:r>
          </w:p>
        </w:tc>
      </w:tr>
      <w:tr>
        <w:tc>
          <w:tcPr>
            <w:tcW w:type="dxa" w:w="5233"/>
            <w:vAlign w:val="center"/>
          </w:tcPr>
          <w:p>
            <w:r/>
            <w:r>
              <w:rPr>
                <w:b/>
                <w:sz w:val="16"/>
              </w:rPr>
              <w:t>Requirement</w:t>
            </w:r>
          </w:p>
        </w:tc>
        <w:tc>
          <w:tcPr>
            <w:tcW w:type="dxa" w:w="5233"/>
            <w:vAlign w:val="center"/>
          </w:tcPr>
          <w:p>
            <w:r/>
            <w:r>
              <w:rPr>
                <w:b w:val="0"/>
                <w:sz w:val="16"/>
              </w:rPr>
              <w:t>R18-R21. Lesson marking is per level, depends on a published timetable, uses P, L or A and keeps morning and lesson facts separate.</w:t>
            </w:r>
          </w:p>
        </w:tc>
      </w:tr>
      <w:tr>
        <w:tc>
          <w:tcPr>
            <w:tcW w:type="dxa" w:w="5233"/>
            <w:vAlign w:val="center"/>
          </w:tcPr>
          <w:p>
            <w:r/>
            <w:r>
              <w:rPr>
                <w:b/>
                <w:sz w:val="16"/>
              </w:rPr>
              <w:t>Current evidence</w:t>
            </w:r>
          </w:p>
        </w:tc>
        <w:tc>
          <w:tcPr>
            <w:tcW w:type="dxa" w:w="5233"/>
            <w:vAlign w:val="center"/>
          </w:tcPr>
          <w:p>
            <w:r/>
            <w:r>
              <w:rPr>
                <w:b w:val="0"/>
                <w:sz w:val="16"/>
              </w:rPr>
              <w:t>Published slots create the due lesson list; teacher ownership and branch reach are enforced.</w:t>
            </w:r>
          </w:p>
        </w:tc>
      </w:tr>
      <w:tr>
        <w:tc>
          <w:tcPr>
            <w:tcW w:type="dxa" w:w="5233"/>
            <w:vAlign w:val="center"/>
          </w:tcPr>
          <w:p>
            <w:r/>
            <w:r>
              <w:rPr>
                <w:b/>
                <w:sz w:val="16"/>
              </w:rPr>
              <w:t>Acceptance</w:t>
            </w:r>
          </w:p>
        </w:tc>
        <w:tc>
          <w:tcPr>
            <w:tcW w:type="dxa" w:w="5233"/>
            <w:vAlign w:val="center"/>
          </w:tcPr>
          <w:p>
            <w:r/>
            <w:r>
              <w:rPr>
                <w:b w:val="0"/>
                <w:sz w:val="16"/>
              </w:rPr>
              <w:t>Present in the morning and absent from a lesson appears on the missed-lesson list without becoming a daily absence.</w:t>
            </w:r>
          </w:p>
        </w:tc>
      </w:tr>
      <w:tr>
        <w:tc>
          <w:tcPr>
            <w:tcW w:type="dxa" w:w="5233"/>
            <w:vAlign w:val="center"/>
          </w:tcPr>
          <w:p>
            <w:r/>
            <w:r>
              <w:rPr>
                <w:b/>
                <w:sz w:val="16"/>
              </w:rPr>
              <w:t>Current limit</w:t>
            </w:r>
          </w:p>
        </w:tc>
        <w:tc>
          <w:tcPr>
            <w:tcW w:type="dxa" w:w="5233"/>
            <w:vAlign w:val="center"/>
          </w:tcPr>
          <w:p>
            <w:r/>
            <w:r>
              <w:rPr>
                <w:b w:val="0"/>
                <w:sz w:val="16"/>
              </w:rPr>
              <w:t>None.</w:t>
            </w:r>
          </w:p>
        </w:tc>
      </w:tr>
    </w:tbl>
    <w:p/>
    <w:p>
      <w:pPr>
        <w:pStyle w:val="Heading2"/>
      </w:pPr>
      <w:r>
        <w:t>FR-006 Staff register</w:t>
      </w:r>
    </w:p>
    <w:tbl>
      <w:tblPr>
        <w:tblW w:type="auto" w:w="0"/>
        <w:tblLook w:firstColumn="1" w:firstRow="1" w:lastColumn="0" w:lastRow="0" w:noHBand="0" w:noVBand="1" w:val="04A0"/>
      </w:tblPr>
      <w:tblGrid>
        <w:gridCol w:w="5233"/>
        <w:gridCol w:w="5233"/>
      </w:tblGrid>
      <w:tr>
        <w:tc>
          <w:tcPr>
            <w:tcW w:type="dxa" w:w="10466"/>
            <w:gridSpan w:val="2"/>
            <w:shd w:fill="D9EAD3"/>
            <w:vAlign w:val="center"/>
          </w:tcPr>
          <w:p>
            <w:r/>
            <w:r>
              <w:rPr>
                <w:b/>
                <w:sz w:val="16"/>
              </w:rPr>
              <w:t>FR-006 | Implemented</w:t>
            </w:r>
          </w:p>
        </w:tc>
      </w:tr>
      <w:tr>
        <w:tc>
          <w:tcPr>
            <w:tcW w:type="dxa" w:w="5233"/>
            <w:vAlign w:val="center"/>
          </w:tcPr>
          <w:p>
            <w:r/>
            <w:r>
              <w:rPr>
                <w:b/>
                <w:sz w:val="16"/>
              </w:rPr>
              <w:t>Requirement</w:t>
            </w:r>
          </w:p>
        </w:tc>
        <w:tc>
          <w:tcPr>
            <w:tcW w:type="dxa" w:w="5233"/>
            <w:vAlign w:val="center"/>
          </w:tcPr>
          <w:p>
            <w:r/>
            <w:r>
              <w:rPr>
                <w:b w:val="0"/>
                <w:sz w:val="16"/>
              </w:rPr>
              <w:t>R22-R23. Staff attendance is an observed P, L or A mark; approved leave is locked and staff absence sends no guardian notice.</w:t>
            </w:r>
          </w:p>
        </w:tc>
      </w:tr>
      <w:tr>
        <w:tc>
          <w:tcPr>
            <w:tcW w:type="dxa" w:w="5233"/>
            <w:vAlign w:val="center"/>
          </w:tcPr>
          <w:p>
            <w:r/>
            <w:r>
              <w:rPr>
                <w:b/>
                <w:sz w:val="16"/>
              </w:rPr>
              <w:t>Current evidence</w:t>
            </w:r>
          </w:p>
        </w:tc>
        <w:tc>
          <w:tcPr>
            <w:tcW w:type="dxa" w:w="5233"/>
            <w:vAlign w:val="center"/>
          </w:tcPr>
          <w:p>
            <w:r/>
            <w:r>
              <w:rPr>
                <w:b w:val="0"/>
                <w:sz w:val="16"/>
              </w:rPr>
              <w:t>Staff rows group by branch and School-wide, use the home branch and read approved leave.</w:t>
            </w:r>
          </w:p>
        </w:tc>
      </w:tr>
      <w:tr>
        <w:tc>
          <w:tcPr>
            <w:tcW w:type="dxa" w:w="5233"/>
            <w:vAlign w:val="center"/>
          </w:tcPr>
          <w:p>
            <w:r/>
            <w:r>
              <w:rPr>
                <w:b/>
                <w:sz w:val="16"/>
              </w:rPr>
              <w:t>Acceptance</w:t>
            </w:r>
          </w:p>
        </w:tc>
        <w:tc>
          <w:tcPr>
            <w:tcW w:type="dxa" w:w="5233"/>
            <w:vAlign w:val="center"/>
          </w:tcPr>
          <w:p>
            <w:r/>
            <w:r>
              <w:rPr>
                <w:b w:val="0"/>
                <w:sz w:val="16"/>
              </w:rPr>
              <w:t>A staff member with no branch cannot be marked and is told to receive a home branch.</w:t>
            </w:r>
          </w:p>
        </w:tc>
      </w:tr>
      <w:tr>
        <w:tc>
          <w:tcPr>
            <w:tcW w:type="dxa" w:w="5233"/>
            <w:vAlign w:val="center"/>
          </w:tcPr>
          <w:p>
            <w:r/>
            <w:r>
              <w:rPr>
                <w:b/>
                <w:sz w:val="16"/>
              </w:rPr>
              <w:t>Current limit</w:t>
            </w:r>
          </w:p>
        </w:tc>
        <w:tc>
          <w:tcPr>
            <w:tcW w:type="dxa" w:w="5233"/>
            <w:vAlign w:val="center"/>
          </w:tcPr>
          <w:p>
            <w:r/>
            <w:r>
              <w:rPr>
                <w:b w:val="0"/>
                <w:sz w:val="16"/>
              </w:rPr>
              <w:t>Sign-in lockout is not served as an attendance fact.</w:t>
            </w:r>
          </w:p>
        </w:tc>
      </w:tr>
    </w:tbl>
    <w:p/>
    <w:p>
      <w:pPr>
        <w:pStyle w:val="Heading2"/>
      </w:pPr>
      <w:r>
        <w:t>FR-007 Reminders</w:t>
      </w:r>
    </w:p>
    <w:tbl>
      <w:tblPr>
        <w:tblW w:type="auto" w:w="0"/>
        <w:tblLook w:firstColumn="1" w:firstRow="1" w:lastColumn="0" w:lastRow="0" w:noHBand="0" w:noVBand="1" w:val="04A0"/>
      </w:tblPr>
      <w:tblGrid>
        <w:gridCol w:w="5233"/>
        <w:gridCol w:w="5233"/>
      </w:tblGrid>
      <w:tr>
        <w:tc>
          <w:tcPr>
            <w:tcW w:type="dxa" w:w="10466"/>
            <w:gridSpan w:val="2"/>
            <w:shd w:fill="D9EAD3"/>
            <w:vAlign w:val="center"/>
          </w:tcPr>
          <w:p>
            <w:r/>
            <w:r>
              <w:rPr>
                <w:b/>
                <w:sz w:val="16"/>
              </w:rPr>
              <w:t>FR-007 | Implemented</w:t>
            </w:r>
          </w:p>
        </w:tc>
      </w:tr>
      <w:tr>
        <w:tc>
          <w:tcPr>
            <w:tcW w:type="dxa" w:w="5233"/>
            <w:vAlign w:val="center"/>
          </w:tcPr>
          <w:p>
            <w:r/>
            <w:r>
              <w:rPr>
                <w:b/>
                <w:sz w:val="16"/>
              </w:rPr>
              <w:t>Requirement</w:t>
            </w:r>
          </w:p>
        </w:tc>
        <w:tc>
          <w:tcPr>
            <w:tcW w:type="dxa" w:w="5233"/>
            <w:vAlign w:val="center"/>
          </w:tcPr>
          <w:p>
            <w:r/>
            <w:r>
              <w:rPr>
                <w:b w:val="0"/>
                <w:sz w:val="16"/>
              </w:rPr>
              <w:t>R24. A class teacher can be reminded once per class and day through in-app and email delivery.</w:t>
            </w:r>
          </w:p>
        </w:tc>
      </w:tr>
      <w:tr>
        <w:tc>
          <w:tcPr>
            <w:tcW w:type="dxa" w:w="5233"/>
            <w:vAlign w:val="center"/>
          </w:tcPr>
          <w:p>
            <w:r/>
            <w:r>
              <w:rPr>
                <w:b/>
                <w:sz w:val="16"/>
              </w:rPr>
              <w:t>Current evidence</w:t>
            </w:r>
          </w:p>
        </w:tc>
        <w:tc>
          <w:tcPr>
            <w:tcW w:type="dxa" w:w="5233"/>
            <w:vAlign w:val="center"/>
          </w:tcPr>
          <w:p>
            <w:r/>
            <w:r>
              <w:rPr>
                <w:b w:val="0"/>
                <w:sz w:val="16"/>
              </w:rPr>
              <w:t>Reminder records and delivery events are committed.</w:t>
            </w:r>
          </w:p>
        </w:tc>
      </w:tr>
      <w:tr>
        <w:tc>
          <w:tcPr>
            <w:tcW w:type="dxa" w:w="5233"/>
            <w:vAlign w:val="center"/>
          </w:tcPr>
          <w:p>
            <w:r/>
            <w:r>
              <w:rPr>
                <w:b/>
                <w:sz w:val="16"/>
              </w:rPr>
              <w:t>Acceptance</w:t>
            </w:r>
          </w:p>
        </w:tc>
        <w:tc>
          <w:tcPr>
            <w:tcW w:type="dxa" w:w="5233"/>
            <w:vAlign w:val="center"/>
          </w:tcPr>
          <w:p>
            <w:r/>
            <w:r>
              <w:rPr>
                <w:b w:val="0"/>
                <w:sz w:val="16"/>
              </w:rPr>
              <w:t>A repeated reminder reads Reminded and does not send twice.</w:t>
            </w:r>
          </w:p>
        </w:tc>
      </w:tr>
      <w:tr>
        <w:tc>
          <w:tcPr>
            <w:tcW w:type="dxa" w:w="5233"/>
            <w:vAlign w:val="center"/>
          </w:tcPr>
          <w:p>
            <w:r/>
            <w:r>
              <w:rPr>
                <w:b/>
                <w:sz w:val="16"/>
              </w:rPr>
              <w:t>Current limit</w:t>
            </w:r>
          </w:p>
        </w:tc>
        <w:tc>
          <w:tcPr>
            <w:tcW w:type="dxa" w:w="5233"/>
            <w:vAlign w:val="center"/>
          </w:tcPr>
          <w:p>
            <w:r/>
            <w:r>
              <w:rPr>
                <w:b w:val="0"/>
                <w:sz w:val="16"/>
              </w:rPr>
              <w:t>None.</w:t>
            </w:r>
          </w:p>
        </w:tc>
      </w:tr>
    </w:tbl>
    <w:p/>
    <w:p>
      <w:pPr>
        <w:pStyle w:val="Heading2"/>
      </w:pPr>
      <w:r>
        <w:t>FR-008 Reports and exports</w:t>
      </w:r>
    </w:p>
    <w:tbl>
      <w:tblPr>
        <w:tblW w:type="auto" w:w="0"/>
        <w:tblLook w:firstColumn="1" w:firstRow="1" w:lastColumn="0" w:lastRow="0" w:noHBand="0" w:noVBand="1" w:val="04A0"/>
      </w:tblPr>
      <w:tblGrid>
        <w:gridCol w:w="5233"/>
        <w:gridCol w:w="5233"/>
      </w:tblGrid>
      <w:tr>
        <w:tc>
          <w:tcPr>
            <w:tcW w:type="dxa" w:w="10466"/>
            <w:gridSpan w:val="2"/>
            <w:shd w:fill="D9EAD3"/>
            <w:vAlign w:val="center"/>
          </w:tcPr>
          <w:p>
            <w:r/>
            <w:r>
              <w:rPr>
                <w:b/>
                <w:sz w:val="16"/>
              </w:rPr>
              <w:t>FR-008 | Implemented</w:t>
            </w:r>
          </w:p>
        </w:tc>
      </w:tr>
      <w:tr>
        <w:tc>
          <w:tcPr>
            <w:tcW w:type="dxa" w:w="5233"/>
            <w:vAlign w:val="center"/>
          </w:tcPr>
          <w:p>
            <w:r/>
            <w:r>
              <w:rPr>
                <w:b/>
                <w:sz w:val="16"/>
              </w:rPr>
              <w:t>Requirement</w:t>
            </w:r>
          </w:p>
        </w:tc>
        <w:tc>
          <w:tcPr>
            <w:tcW w:type="dxa" w:w="5233"/>
            <w:vAlign w:val="center"/>
          </w:tcPr>
          <w:p>
            <w:r/>
            <w:r>
              <w:rPr>
                <w:b w:val="0"/>
                <w:sz w:val="16"/>
              </w:rPr>
              <w:t>R25-R27. Term reports cover weekly trend, class, level, chronic absence, registers not taken and lessons missed.</w:t>
            </w:r>
          </w:p>
        </w:tc>
      </w:tr>
      <w:tr>
        <w:tc>
          <w:tcPr>
            <w:tcW w:type="dxa" w:w="5233"/>
            <w:vAlign w:val="center"/>
          </w:tcPr>
          <w:p>
            <w:r/>
            <w:r>
              <w:rPr>
                <w:b/>
                <w:sz w:val="16"/>
              </w:rPr>
              <w:t>Current evidence</w:t>
            </w:r>
          </w:p>
        </w:tc>
        <w:tc>
          <w:tcPr>
            <w:tcW w:type="dxa" w:w="5233"/>
            <w:vAlign w:val="center"/>
          </w:tcPr>
          <w:p>
            <w:r/>
            <w:r>
              <w:rPr>
                <w:b w:val="0"/>
                <w:sz w:val="16"/>
              </w:rPr>
              <w:t>Reports read taken registers only; class, chronic and not-taken datasets download immediately as CSV.</w:t>
            </w:r>
          </w:p>
        </w:tc>
      </w:tr>
      <w:tr>
        <w:tc>
          <w:tcPr>
            <w:tcW w:type="dxa" w:w="5233"/>
            <w:vAlign w:val="center"/>
          </w:tcPr>
          <w:p>
            <w:r/>
            <w:r>
              <w:rPr>
                <w:b/>
                <w:sz w:val="16"/>
              </w:rPr>
              <w:t>Acceptance</w:t>
            </w:r>
          </w:p>
        </w:tc>
        <w:tc>
          <w:tcPr>
            <w:tcW w:type="dxa" w:w="5233"/>
            <w:vAlign w:val="center"/>
          </w:tcPr>
          <w:p>
            <w:r/>
            <w:r>
              <w:rPr>
                <w:b w:val="0"/>
                <w:sz w:val="16"/>
              </w:rPr>
              <w:t>The threshold is tenant-configured and branch filters recede at one branch.</w:t>
            </w:r>
          </w:p>
        </w:tc>
      </w:tr>
      <w:tr>
        <w:tc>
          <w:tcPr>
            <w:tcW w:type="dxa" w:w="5233"/>
            <w:vAlign w:val="center"/>
          </w:tcPr>
          <w:p>
            <w:r/>
            <w:r>
              <w:rPr>
                <w:b/>
                <w:sz w:val="16"/>
              </w:rPr>
              <w:t>Current limit</w:t>
            </w:r>
          </w:p>
        </w:tc>
        <w:tc>
          <w:tcPr>
            <w:tcW w:type="dxa" w:w="5233"/>
            <w:vAlign w:val="center"/>
          </w:tcPr>
          <w:p>
            <w:r/>
            <w:r>
              <w:rPr>
                <w:b w:val="0"/>
                <w:sz w:val="16"/>
              </w:rPr>
              <w:t>Exports are immediate rather than queued, by decision.</w:t>
            </w:r>
          </w:p>
        </w:tc>
      </w:tr>
    </w:tbl>
    <w:p/>
    <w:p>
      <w:pPr>
        <w:pStyle w:val="Heading2"/>
      </w:pPr>
      <w:r>
        <w:t>FR-009 Settings and reason codes</w:t>
      </w:r>
    </w:p>
    <w:tbl>
      <w:tblPr>
        <w:tblW w:type="auto" w:w="0"/>
        <w:tblLook w:firstColumn="1" w:firstRow="1" w:lastColumn="0" w:lastRow="0" w:noHBand="0" w:noVBand="1" w:val="04A0"/>
      </w:tblPr>
      <w:tblGrid>
        <w:gridCol w:w="5233"/>
        <w:gridCol w:w="5233"/>
      </w:tblGrid>
      <w:tr>
        <w:tc>
          <w:tcPr>
            <w:tcW w:type="dxa" w:w="10466"/>
            <w:gridSpan w:val="2"/>
            <w:shd w:fill="D9EAD3"/>
            <w:vAlign w:val="center"/>
          </w:tcPr>
          <w:p>
            <w:r/>
            <w:r>
              <w:rPr>
                <w:b/>
                <w:sz w:val="16"/>
              </w:rPr>
              <w:t>FR-009 | Implemented</w:t>
            </w:r>
          </w:p>
        </w:tc>
      </w:tr>
      <w:tr>
        <w:tc>
          <w:tcPr>
            <w:tcW w:type="dxa" w:w="5233"/>
            <w:vAlign w:val="center"/>
          </w:tcPr>
          <w:p>
            <w:r/>
            <w:r>
              <w:rPr>
                <w:b/>
                <w:sz w:val="16"/>
              </w:rPr>
              <w:t>Requirement</w:t>
            </w:r>
          </w:p>
        </w:tc>
        <w:tc>
          <w:tcPr>
            <w:tcW w:type="dxa" w:w="5233"/>
            <w:vAlign w:val="center"/>
          </w:tcPr>
          <w:p>
            <w:r/>
            <w:r>
              <w:rPr>
                <w:b w:val="0"/>
                <w:sz w:val="16"/>
              </w:rPr>
              <w:t>R28-R29. Reason codes are tenant-owned, retire without rewriting history, and carry counts_as_authorised; guardian notices, lessons, threshold and edit window are school-wide settings.</w:t>
            </w:r>
          </w:p>
        </w:tc>
      </w:tr>
      <w:tr>
        <w:tc>
          <w:tcPr>
            <w:tcW w:type="dxa" w:w="5233"/>
            <w:vAlign w:val="center"/>
          </w:tcPr>
          <w:p>
            <w:r/>
            <w:r>
              <w:rPr>
                <w:b/>
                <w:sz w:val="16"/>
              </w:rPr>
              <w:t>Current evidence</w:t>
            </w:r>
          </w:p>
        </w:tc>
        <w:tc>
          <w:tcPr>
            <w:tcW w:type="dxa" w:w="5233"/>
            <w:vAlign w:val="center"/>
          </w:tcPr>
          <w:p>
            <w:r/>
            <w:r>
              <w:rPr>
                <w:b w:val="0"/>
                <w:sz w:val="16"/>
              </w:rPr>
              <w:t>Settings and reason-code routes enforce whole-school authority and audit changes.</w:t>
            </w:r>
          </w:p>
        </w:tc>
      </w:tr>
      <w:tr>
        <w:tc>
          <w:tcPr>
            <w:tcW w:type="dxa" w:w="5233"/>
            <w:vAlign w:val="center"/>
          </w:tcPr>
          <w:p>
            <w:r/>
            <w:r>
              <w:rPr>
                <w:b/>
                <w:sz w:val="16"/>
              </w:rPr>
              <w:t>Acceptance</w:t>
            </w:r>
          </w:p>
        </w:tc>
        <w:tc>
          <w:tcPr>
            <w:tcW w:type="dxa" w:w="5233"/>
            <w:vAlign w:val="center"/>
          </w:tcPr>
          <w:p>
            <w:r/>
            <w:r>
              <w:rPr>
                <w:b w:val="0"/>
                <w:sz w:val="16"/>
              </w:rPr>
              <w:t>Retired codes remain on old marks and disappear from new choices.</w:t>
            </w:r>
          </w:p>
        </w:tc>
      </w:tr>
      <w:tr>
        <w:tc>
          <w:tcPr>
            <w:tcW w:type="dxa" w:w="5233"/>
            <w:vAlign w:val="center"/>
          </w:tcPr>
          <w:p>
            <w:r/>
            <w:r>
              <w:rPr>
                <w:b/>
                <w:sz w:val="16"/>
              </w:rPr>
              <w:t>Current limit</w:t>
            </w:r>
          </w:p>
        </w:tc>
        <w:tc>
          <w:tcPr>
            <w:tcW w:type="dxa" w:w="5233"/>
            <w:vAlign w:val="center"/>
          </w:tcPr>
          <w:p>
            <w:r/>
            <w:r>
              <w:rPr>
                <w:b w:val="0"/>
                <w:sz w:val="16"/>
              </w:rPr>
              <w:t>counts_as_authorised is stored but does not alter calculations until a product surface uses it.</w:t>
            </w:r>
          </w:p>
        </w:tc>
      </w:tr>
    </w:tbl>
    <w:p/>
    <w:p>
      <w:pPr>
        <w:pStyle w:val="Heading2"/>
      </w:pPr>
      <w:r>
        <w:t>FR-010 Branch behavior</w:t>
      </w:r>
    </w:p>
    <w:tbl>
      <w:tblPr>
        <w:tblW w:type="auto" w:w="0"/>
        <w:tblLook w:firstColumn="1" w:firstRow="1" w:lastColumn="0" w:lastRow="0" w:noHBand="0" w:noVBand="1" w:val="04A0"/>
      </w:tblPr>
      <w:tblGrid>
        <w:gridCol w:w="5233"/>
        <w:gridCol w:w="5233"/>
      </w:tblGrid>
      <w:tr>
        <w:tc>
          <w:tcPr>
            <w:tcW w:type="dxa" w:w="10466"/>
            <w:gridSpan w:val="2"/>
            <w:shd w:fill="D9EAD3"/>
            <w:vAlign w:val="center"/>
          </w:tcPr>
          <w:p>
            <w:r/>
            <w:r>
              <w:rPr>
                <w:b/>
                <w:sz w:val="16"/>
              </w:rPr>
              <w:t>FR-010 | Implemented</w:t>
            </w:r>
          </w:p>
        </w:tc>
      </w:tr>
      <w:tr>
        <w:tc>
          <w:tcPr>
            <w:tcW w:type="dxa" w:w="5233"/>
            <w:vAlign w:val="center"/>
          </w:tcPr>
          <w:p>
            <w:r/>
            <w:r>
              <w:rPr>
                <w:b/>
                <w:sz w:val="16"/>
              </w:rPr>
              <w:t>Requirement</w:t>
            </w:r>
          </w:p>
        </w:tc>
        <w:tc>
          <w:tcPr>
            <w:tcW w:type="dxa" w:w="5233"/>
            <w:vAlign w:val="center"/>
          </w:tcPr>
          <w:p>
            <w:r/>
            <w:r>
              <w:rPr>
                <w:b w:val="0"/>
                <w:sz w:val="16"/>
              </w:rPr>
              <w:t>R30. Multi-branch readers filter hubs, staff and reports; one-branch controls recede.</w:t>
            </w:r>
          </w:p>
        </w:tc>
      </w:tr>
      <w:tr>
        <w:tc>
          <w:tcPr>
            <w:tcW w:type="dxa" w:w="5233"/>
            <w:vAlign w:val="center"/>
          </w:tcPr>
          <w:p>
            <w:r/>
            <w:r>
              <w:rPr>
                <w:b/>
                <w:sz w:val="16"/>
              </w:rPr>
              <w:t>Current evidence</w:t>
            </w:r>
          </w:p>
        </w:tc>
        <w:tc>
          <w:tcPr>
            <w:tcW w:type="dxa" w:w="5233"/>
            <w:vAlign w:val="center"/>
          </w:tcPr>
          <w:p>
            <w:r/>
            <w:r>
              <w:rPr>
                <w:b w:val="0"/>
                <w:sz w:val="16"/>
              </w:rPr>
              <w:t>Register branch comes from the class; branch reach uses the shared RBAC resolver.</w:t>
            </w:r>
          </w:p>
        </w:tc>
      </w:tr>
      <w:tr>
        <w:tc>
          <w:tcPr>
            <w:tcW w:type="dxa" w:w="5233"/>
            <w:vAlign w:val="center"/>
          </w:tcPr>
          <w:p>
            <w:r/>
            <w:r>
              <w:rPr>
                <w:b/>
                <w:sz w:val="16"/>
              </w:rPr>
              <w:t>Acceptance</w:t>
            </w:r>
          </w:p>
        </w:tc>
        <w:tc>
          <w:tcPr>
            <w:tcW w:type="dxa" w:w="5233"/>
            <w:vAlign w:val="center"/>
          </w:tcPr>
          <w:p>
            <w:r/>
            <w:r>
              <w:rPr>
                <w:b w:val="0"/>
                <w:sz w:val="16"/>
              </w:rPr>
              <w:t>A shared class at a multi-branch school is refused until given a branch.</w:t>
            </w:r>
          </w:p>
        </w:tc>
      </w:tr>
      <w:tr>
        <w:tc>
          <w:tcPr>
            <w:tcW w:type="dxa" w:w="5233"/>
            <w:vAlign w:val="center"/>
          </w:tcPr>
          <w:p>
            <w:r/>
            <w:r>
              <w:rPr>
                <w:b/>
                <w:sz w:val="16"/>
              </w:rPr>
              <w:t>Current limit</w:t>
            </w:r>
          </w:p>
        </w:tc>
        <w:tc>
          <w:tcPr>
            <w:tcW w:type="dxa" w:w="5233"/>
            <w:vAlign w:val="center"/>
          </w:tcPr>
          <w:p>
            <w:r/>
            <w:r>
              <w:rPr>
                <w:b w:val="0"/>
                <w:sz w:val="16"/>
              </w:rPr>
              <w:t>None.</w:t>
            </w:r>
          </w:p>
        </w:tc>
      </w:tr>
    </w:tbl>
    <w:p/>
    <w:p>
      <w:pPr>
        <w:pStyle w:val="Heading1"/>
      </w:pPr>
      <w:r>
        <w:t>5. Workflows and Lifecycle Rules</w:t>
      </w:r>
    </w:p>
    <w:p>
      <w:r>
        <w:t>Daily register: due, in progress, submitted, editable inside the configured window, then correction-only.</w:t>
      </w:r>
    </w:p>
    <w:p>
      <w:pPr>
        <w:spacing w:after="60"/>
      </w:pPr>
      <w:r>
        <w:t>• Daily register: due, in progress, submitted, editable inside the configured window, then correction-only.</w:t>
      </w:r>
    </w:p>
    <w:p>
      <w:r>
        <w:t>Correction: requested, approved or rejected in Module 15.</w:t>
      </w:r>
    </w:p>
    <w:p>
      <w:pPr>
        <w:spacing w:after="60"/>
      </w:pPr>
      <w:r>
        <w:t>• Correction: requested, approved or rejected in Module 15.</w:t>
      </w:r>
    </w:p>
    <w:p>
      <w:r>
        <w:t>Lesson register: due from a published timetable, submitted by its teacher or an authorised substitute.</w:t>
      </w:r>
    </w:p>
    <w:p>
      <w:pPr>
        <w:spacing w:after="60"/>
      </w:pPr>
      <w:r>
        <w:t>• Lesson register: due from a published timetable, submitted by its teacher or an authorised substitute.</w:t>
      </w:r>
    </w:p>
    <w:p>
      <w:r>
        <w:t>Staff register: open-day record with approved leave locked.</w:t>
      </w:r>
    </w:p>
    <w:p>
      <w:pPr>
        <w:spacing w:after="60"/>
      </w:pPr>
      <w:r>
        <w:t>• Staff register: open-day record with approved leave locked.</w:t>
      </w:r>
    </w:p>
    <w:p>
      <w:pPr>
        <w:pStyle w:val="Heading1"/>
      </w:pPr>
      <w:r>
        <w:t>6. Data Model and Relationships</w:t>
      </w:r>
    </w:p>
    <w:tbl>
      <w:tblPr>
        <w:tblW w:type="auto" w:w="0"/>
        <w:tblLook w:firstColumn="1" w:firstRow="1" w:lastColumn="0" w:lastRow="0" w:noHBand="0" w:noVBand="1" w:val="04A0"/>
      </w:tblPr>
      <w:tblGrid>
        <w:gridCol w:w="5233"/>
        <w:gridCol w:w="5233"/>
      </w:tblGrid>
      <w:tr>
        <w:trPr>
          <w:tblHeader w:val="true"/>
        </w:trPr>
        <w:tc>
          <w:tcPr>
            <w:tcW w:type="dxa" w:w="5233"/>
            <w:shd w:fill="1F4E78"/>
            <w:vAlign w:val="center"/>
          </w:tcPr>
          <w:p>
            <w:r/>
            <w:r>
              <w:rPr>
                <w:b/>
                <w:color w:val="FFFFFF"/>
                <w:sz w:val="16"/>
              </w:rPr>
              <w:t>Record</w:t>
            </w:r>
          </w:p>
        </w:tc>
        <w:tc>
          <w:tcPr>
            <w:tcW w:type="dxa" w:w="5233"/>
            <w:shd w:fill="1F4E78"/>
            <w:vAlign w:val="center"/>
          </w:tcPr>
          <w:p>
            <w:r/>
            <w:r>
              <w:rPr>
                <w:b/>
                <w:color w:val="FFFFFF"/>
                <w:sz w:val="16"/>
              </w:rPr>
              <w:t>Purpose</w:t>
            </w:r>
          </w:p>
        </w:tc>
      </w:tr>
      <w:tr>
        <w:tc>
          <w:tcPr>
            <w:tcW w:type="dxa" w:w="5233"/>
            <w:vAlign w:val="center"/>
          </w:tcPr>
          <w:p>
            <w:r/>
            <w:r>
              <w:rPr>
                <w:b w:val="0"/>
                <w:sz w:val="16"/>
              </w:rPr>
              <w:t>ReasonCode</w:t>
            </w:r>
          </w:p>
        </w:tc>
        <w:tc>
          <w:tcPr>
            <w:tcW w:type="dxa" w:w="5233"/>
            <w:vAlign w:val="center"/>
          </w:tcPr>
          <w:p>
            <w:r/>
            <w:r>
              <w:rPr>
                <w:b w:val="0"/>
                <w:sz w:val="16"/>
              </w:rPr>
              <w:t>Tenant list, authorised flag, retirement and order</w:t>
            </w:r>
          </w:p>
        </w:tc>
      </w:tr>
      <w:tr>
        <w:tc>
          <w:tcPr>
            <w:tcW w:type="dxa" w:w="5233"/>
            <w:vAlign w:val="center"/>
            <w:shd w:fill="EAF2F8"/>
          </w:tcPr>
          <w:p>
            <w:r/>
            <w:r>
              <w:rPr>
                <w:b w:val="0"/>
                <w:sz w:val="16"/>
              </w:rPr>
              <w:t>ClassRegister and StudentMark</w:t>
            </w:r>
          </w:p>
        </w:tc>
        <w:tc>
          <w:tcPr>
            <w:tcW w:type="dxa" w:w="5233"/>
            <w:vAlign w:val="center"/>
            <w:shd w:fill="EAF2F8"/>
          </w:tcPr>
          <w:p>
            <w:r/>
            <w:r>
              <w:rPr>
                <w:b w:val="0"/>
                <w:sz w:val="16"/>
              </w:rPr>
              <w:t>Daily class record and one mark per pupil</w:t>
            </w:r>
          </w:p>
        </w:tc>
      </w:tr>
      <w:tr>
        <w:tc>
          <w:tcPr>
            <w:tcW w:type="dxa" w:w="5233"/>
            <w:vAlign w:val="center"/>
          </w:tcPr>
          <w:p>
            <w:r/>
            <w:r>
              <w:rPr>
                <w:b w:val="0"/>
                <w:sz w:val="16"/>
              </w:rPr>
              <w:t>MarkChange and CorrectionRequest</w:t>
            </w:r>
          </w:p>
        </w:tc>
        <w:tc>
          <w:tcPr>
            <w:tcW w:type="dxa" w:w="5233"/>
            <w:vAlign w:val="center"/>
          </w:tcPr>
          <w:p>
            <w:r/>
            <w:r>
              <w:rPr>
                <w:b w:val="0"/>
                <w:sz w:val="16"/>
              </w:rPr>
              <w:t>Append-only changes and decisions</w:t>
            </w:r>
          </w:p>
        </w:tc>
      </w:tr>
      <w:tr>
        <w:tc>
          <w:tcPr>
            <w:tcW w:type="dxa" w:w="5233"/>
            <w:vAlign w:val="center"/>
            <w:shd w:fill="EAF2F8"/>
          </w:tcPr>
          <w:p>
            <w:r/>
            <w:r>
              <w:rPr>
                <w:b w:val="0"/>
                <w:sz w:val="16"/>
              </w:rPr>
              <w:t>LessonRegister and LessonMark</w:t>
            </w:r>
          </w:p>
        </w:tc>
        <w:tc>
          <w:tcPr>
            <w:tcW w:type="dxa" w:w="5233"/>
            <w:vAlign w:val="center"/>
            <w:shd w:fill="EAF2F8"/>
          </w:tcPr>
          <w:p>
            <w:r/>
            <w:r>
              <w:rPr>
                <w:b w:val="0"/>
                <w:sz w:val="16"/>
              </w:rPr>
              <w:t>Published-slot attendance</w:t>
            </w:r>
          </w:p>
        </w:tc>
      </w:tr>
      <w:tr>
        <w:tc>
          <w:tcPr>
            <w:tcW w:type="dxa" w:w="5233"/>
            <w:vAlign w:val="center"/>
          </w:tcPr>
          <w:p>
            <w:r/>
            <w:r>
              <w:rPr>
                <w:b w:val="0"/>
                <w:sz w:val="16"/>
              </w:rPr>
              <w:t>StaffDay and StaffMark</w:t>
            </w:r>
          </w:p>
        </w:tc>
        <w:tc>
          <w:tcPr>
            <w:tcW w:type="dxa" w:w="5233"/>
            <w:vAlign w:val="center"/>
          </w:tcPr>
          <w:p>
            <w:r/>
            <w:r>
              <w:rPr>
                <w:b w:val="0"/>
                <w:sz w:val="16"/>
              </w:rPr>
              <w:t>Observed staff attendance</w:t>
            </w:r>
          </w:p>
        </w:tc>
      </w:tr>
      <w:tr>
        <w:tc>
          <w:tcPr>
            <w:tcW w:type="dxa" w:w="5233"/>
            <w:vAlign w:val="center"/>
            <w:shd w:fill="EAF2F8"/>
          </w:tcPr>
          <w:p>
            <w:r/>
            <w:r>
              <w:rPr>
                <w:b w:val="0"/>
                <w:sz w:val="16"/>
              </w:rPr>
              <w:t>RegisterReminder</w:t>
            </w:r>
          </w:p>
        </w:tc>
        <w:tc>
          <w:tcPr>
            <w:tcW w:type="dxa" w:w="5233"/>
            <w:vAlign w:val="center"/>
            <w:shd w:fill="EAF2F8"/>
          </w:tcPr>
          <w:p>
            <w:r/>
            <w:r>
              <w:rPr>
                <w:b w:val="0"/>
                <w:sz w:val="16"/>
              </w:rPr>
              <w:t>One reminder per class and day</w:t>
            </w:r>
          </w:p>
        </w:tc>
      </w:tr>
    </w:tbl>
    <w:p/>
    <w:p>
      <w:pPr>
        <w:pStyle w:val="Heading1"/>
      </w:pPr>
      <w:r>
        <w:t>7. API and Validation Contracts</w:t>
      </w:r>
    </w:p>
    <w:tbl>
      <w:tblPr>
        <w:tblW w:type="auto" w:w="0"/>
        <w:tblLook w:firstColumn="1" w:firstRow="1" w:lastColumn="0" w:lastRow="0" w:noHBand="0" w:noVBand="1" w:val="04A0"/>
      </w:tblPr>
      <w:tblGrid>
        <w:gridCol w:w="5233"/>
        <w:gridCol w:w="5233"/>
      </w:tblGrid>
      <w:tr>
        <w:trPr>
          <w:tblHeader w:val="true"/>
        </w:trPr>
        <w:tc>
          <w:tcPr>
            <w:tcW w:type="dxa" w:w="5233"/>
            <w:shd w:fill="1F4E78"/>
            <w:vAlign w:val="center"/>
          </w:tcPr>
          <w:p>
            <w:r/>
            <w:r>
              <w:rPr>
                <w:b/>
                <w:color w:val="FFFFFF"/>
                <w:sz w:val="16"/>
              </w:rPr>
              <w:t>Surface</w:t>
            </w:r>
          </w:p>
        </w:tc>
        <w:tc>
          <w:tcPr>
            <w:tcW w:type="dxa" w:w="5233"/>
            <w:shd w:fill="1F4E78"/>
            <w:vAlign w:val="center"/>
          </w:tcPr>
          <w:p>
            <w:r/>
            <w:r>
              <w:rPr>
                <w:b/>
                <w:color w:val="FFFFFF"/>
                <w:sz w:val="16"/>
              </w:rPr>
              <w:t>Contract</w:t>
            </w:r>
          </w:p>
        </w:tc>
      </w:tr>
      <w:tr>
        <w:tc>
          <w:tcPr>
            <w:tcW w:type="dxa" w:w="5233"/>
            <w:vAlign w:val="center"/>
          </w:tcPr>
          <w:p>
            <w:r/>
            <w:r>
              <w:rPr>
                <w:b w:val="0"/>
                <w:sz w:val="16"/>
              </w:rPr>
              <w:t>today and today/mine</w:t>
            </w:r>
          </w:p>
        </w:tc>
        <w:tc>
          <w:tcPr>
            <w:tcW w:type="dxa" w:w="5233"/>
            <w:vAlign w:val="center"/>
          </w:tcPr>
          <w:p>
            <w:r/>
            <w:r>
              <w:rPr>
                <w:b w:val="0"/>
                <w:sz w:val="16"/>
              </w:rPr>
              <w:t>Admin and teacher hubs with closed-day state</w:t>
            </w:r>
          </w:p>
        </w:tc>
      </w:tr>
      <w:tr>
        <w:tc>
          <w:tcPr>
            <w:tcW w:type="dxa" w:w="5233"/>
            <w:vAlign w:val="center"/>
            <w:shd w:fill="EAF2F8"/>
          </w:tcPr>
          <w:p>
            <w:r/>
            <w:r>
              <w:rPr>
                <w:b w:val="0"/>
                <w:sz w:val="16"/>
              </w:rPr>
              <w:t>registers and marks</w:t>
            </w:r>
          </w:p>
        </w:tc>
        <w:tc>
          <w:tcPr>
            <w:tcW w:type="dxa" w:w="5233"/>
            <w:vAlign w:val="center"/>
            <w:shd w:fill="EAF2F8"/>
          </w:tcPr>
          <w:p>
            <w:r/>
            <w:r>
              <w:rPr>
                <w:b w:val="0"/>
                <w:sz w:val="16"/>
              </w:rPr>
              <w:t>Daily reads, writes, fill and submit</w:t>
            </w:r>
          </w:p>
        </w:tc>
      </w:tr>
      <w:tr>
        <w:tc>
          <w:tcPr>
            <w:tcW w:type="dxa" w:w="5233"/>
            <w:vAlign w:val="center"/>
          </w:tcPr>
          <w:p>
            <w:r/>
            <w:r>
              <w:rPr>
                <w:b w:val="0"/>
                <w:sz w:val="16"/>
              </w:rPr>
              <w:t>lessons</w:t>
            </w:r>
          </w:p>
        </w:tc>
        <w:tc>
          <w:tcPr>
            <w:tcW w:type="dxa" w:w="5233"/>
            <w:vAlign w:val="center"/>
          </w:tcPr>
          <w:p>
            <w:r/>
            <w:r>
              <w:rPr>
                <w:b w:val="0"/>
                <w:sz w:val="16"/>
              </w:rPr>
              <w:t>Due lesson list, marks and submit</w:t>
            </w:r>
          </w:p>
        </w:tc>
      </w:tr>
      <w:tr>
        <w:tc>
          <w:tcPr>
            <w:tcW w:type="dxa" w:w="5233"/>
            <w:vAlign w:val="center"/>
            <w:shd w:fill="EAF2F8"/>
          </w:tcPr>
          <w:p>
            <w:r/>
            <w:r>
              <w:rPr>
                <w:b w:val="0"/>
                <w:sz w:val="16"/>
              </w:rPr>
              <w:t>corrections</w:t>
            </w:r>
          </w:p>
        </w:tc>
        <w:tc>
          <w:tcPr>
            <w:tcW w:type="dxa" w:w="5233"/>
            <w:vAlign w:val="center"/>
            <w:shd w:fill="EAF2F8"/>
          </w:tcPr>
          <w:p>
            <w:r/>
            <w:r>
              <w:rPr>
                <w:b w:val="0"/>
                <w:sz w:val="16"/>
              </w:rPr>
              <w:t>Queue, create, approve and reject</w:t>
            </w:r>
          </w:p>
        </w:tc>
      </w:tr>
      <w:tr>
        <w:tc>
          <w:tcPr>
            <w:tcW w:type="dxa" w:w="5233"/>
            <w:vAlign w:val="center"/>
          </w:tcPr>
          <w:p>
            <w:r/>
            <w:r>
              <w:rPr>
                <w:b w:val="0"/>
                <w:sz w:val="16"/>
              </w:rPr>
              <w:t>staff-registers</w:t>
            </w:r>
          </w:p>
        </w:tc>
        <w:tc>
          <w:tcPr>
            <w:tcW w:type="dxa" w:w="5233"/>
            <w:vAlign w:val="center"/>
          </w:tcPr>
          <w:p>
            <w:r/>
            <w:r>
              <w:rPr>
                <w:b w:val="0"/>
                <w:sz w:val="16"/>
              </w:rPr>
              <w:t>Branch staff marks and submit</w:t>
            </w:r>
          </w:p>
        </w:tc>
      </w:tr>
      <w:tr>
        <w:tc>
          <w:tcPr>
            <w:tcW w:type="dxa" w:w="5233"/>
            <w:vAlign w:val="center"/>
            <w:shd w:fill="EAF2F8"/>
          </w:tcPr>
          <w:p>
            <w:r/>
            <w:r>
              <w:rPr>
                <w:b w:val="0"/>
                <w:sz w:val="16"/>
              </w:rPr>
              <w:t>students and reports</w:t>
            </w:r>
          </w:p>
        </w:tc>
        <w:tc>
          <w:tcPr>
            <w:tcW w:type="dxa" w:w="5233"/>
            <w:vAlign w:val="center"/>
            <w:shd w:fill="EAF2F8"/>
          </w:tcPr>
          <w:p>
            <w:r/>
            <w:r>
              <w:rPr>
                <w:b w:val="0"/>
                <w:sz w:val="16"/>
              </w:rPr>
              <w:t>Term summary, chronic list and exports</w:t>
            </w:r>
          </w:p>
        </w:tc>
      </w:tr>
      <w:tr>
        <w:tc>
          <w:tcPr>
            <w:tcW w:type="dxa" w:w="5233"/>
            <w:vAlign w:val="center"/>
          </w:tcPr>
          <w:p>
            <w:r/>
            <w:r>
              <w:rPr>
                <w:b w:val="0"/>
                <w:sz w:val="16"/>
              </w:rPr>
              <w:t>settings and reason-codes</w:t>
            </w:r>
          </w:p>
        </w:tc>
        <w:tc>
          <w:tcPr>
            <w:tcW w:type="dxa" w:w="5233"/>
            <w:vAlign w:val="center"/>
          </w:tcPr>
          <w:p>
            <w:r/>
            <w:r>
              <w:rPr>
                <w:b w:val="0"/>
                <w:sz w:val="16"/>
              </w:rPr>
              <w:t>Whole-school configuration</w:t>
            </w:r>
          </w:p>
        </w:tc>
      </w:tr>
    </w:tbl>
    <w:p/>
    <w:p>
      <w:pPr>
        <w:pStyle w:val="Heading1"/>
      </w:pPr>
      <w:r>
        <w:t>8. Field Access</w:t>
      </w:r>
    </w:p>
    <w:p>
      <w:r>
        <w:t>Mark note, excused reason, arrival time, guardian email on the student record and staff notes are registered with explicit Read and Write decisions. Student names on registers remain deliberately outside the student-name switches because the register cannot function without identifying its roster.</w:t>
      </w:r>
    </w:p>
    <w:p>
      <w:pPr>
        <w:pStyle w:val="Heading1"/>
      </w:pPr>
      <w:r>
        <w:t>9. Dependencies and Operational Evidence</w:t>
      </w:r>
    </w:p>
    <w:p>
      <w:r>
        <w:t>M11 supplies placement, suspension and guardian links.</w:t>
      </w:r>
    </w:p>
    <w:p>
      <w:pPr>
        <w:spacing w:after="60"/>
      </w:pPr>
      <w:r>
        <w:t>• M11 supplies placement, suspension and guardian links.</w:t>
      </w:r>
    </w:p>
    <w:p>
      <w:r>
        <w:t>M12 supplies staff, home branch and approved leave.</w:t>
      </w:r>
    </w:p>
    <w:p>
      <w:pPr>
        <w:spacing w:after="60"/>
      </w:pPr>
      <w:r>
        <w:t>• M12 supplies staff, home branch and approved leave.</w:t>
      </w:r>
    </w:p>
    <w:p>
      <w:r>
        <w:t>M13 and M14 supply classes, terms, published lessons and closed days.</w:t>
      </w:r>
    </w:p>
    <w:p>
      <w:pPr>
        <w:spacing w:after="60"/>
      </w:pPr>
      <w:r>
        <w:t>• M13 and M14 supply classes, terms, published lessons and closed days.</w:t>
      </w:r>
    </w:p>
    <w:p>
      <w:r>
        <w:t>M08 delivers absence, correction and reminder notices.</w:t>
      </w:r>
    </w:p>
    <w:p>
      <w:pPr>
        <w:spacing w:after="60"/>
      </w:pPr>
      <w:r>
        <w:t>• M08 delivers absence, correction and reminder notices.</w:t>
      </w:r>
    </w:p>
    <w:p>
      <w:r>
        <w:t>M26 renders immediate CSV datasets.</w:t>
      </w:r>
    </w:p>
    <w:p>
      <w:pPr>
        <w:spacing w:after="60"/>
      </w:pPr>
      <w:r>
        <w:t>• M26 renders immediate CSV datasets.</w:t>
      </w:r>
    </w:p>
    <w:p>
      <w:pPr>
        <w:pStyle w:val="Heading1"/>
      </w:pPr>
      <w:r>
        <w:t>Current Contracts at 19 October 2026</w:t>
      </w:r>
    </w:p>
    <w:p>
      <w:r>
        <w:t>The pupil portal reads only the signed-in pupil’s own term attendance through pupil_attendance. It includes the register note and respects the existing released portal boundary. No guardian history or another pupil’s attendance is exposed.</w:t>
      </w:r>
    </w:p>
    <w:p>
      <w:pPr>
        <w:pStyle w:val="Heading1"/>
      </w:pPr>
      <w:r>
        <w:t>10. Needs Attention</w:t>
      </w:r>
    </w:p>
    <w:p>
      <w:r>
        <w:t>No unresolved backend gap remains in R1-R30. Product release and deployment are separate from this backend evidence.</w:t>
      </w:r>
    </w:p>
    <w:p>
      <w:pPr>
        <w:pStyle w:val="Heading1"/>
      </w:pPr>
      <w:r>
        <w:t>11. MRD Traceability</w:t>
      </w:r>
    </w:p>
    <w:p>
      <w:r>
        <w:t>The MRD keeps ten Attendance capability entries and moves Module 15 from Planned to Partial. Daily registers, lesson registers, staff attendance, corrections, reasons, notices, reports, exports and branch behavior map to FR-001 through FR-010.</w:t>
      </w:r>
    </w:p>
    <w:p>
      <w:pPr>
        <w:pStyle w:val="Heading1"/>
      </w:pPr>
      <w:r>
        <w:t>12. Change Log</w:t>
      </w:r>
    </w:p>
    <w:tbl>
      <w:tblPr>
        <w:tblW w:type="auto" w:w="0"/>
        <w:tblLook w:firstColumn="1" w:firstRow="1" w:lastColumn="0" w:lastRow="0" w:noHBand="0" w:noVBand="1" w:val="04A0"/>
      </w:tblPr>
      <w:tr>
        <w:tc>
          <w:tcPr>
            <w:tcW w:type="dxa" w:w="3489"/>
            <w:vAlign w:val="center"/>
          </w:tcPr>
          <w:p>
            <w:r/>
            <w:r>
              <w:rPr>
                <w:b w:val="0"/>
                <w:sz w:val="16"/>
              </w:rPr>
              <w:t>1.0</w:t>
            </w:r>
          </w:p>
        </w:tc>
        <w:tc>
          <w:tcPr>
            <w:tcW w:type="dxa" w:w="3489"/>
            <w:vAlign w:val="center"/>
          </w:tcPr>
          <w:p>
            <w:r/>
            <w:r>
              <w:rPr>
                <w:b w:val="0"/>
                <w:sz w:val="16"/>
              </w:rPr>
              <w:t>14 October 2026</w:t>
            </w:r>
          </w:p>
        </w:tc>
        <w:tc>
          <w:tcPr>
            <w:tcW w:type="dxa" w:w="3489"/>
            <w:vAlign w:val="center"/>
          </w:tcPr>
          <w:p>
            <w:r/>
            <w:r>
              <w:rPr>
                <w:b w:val="0"/>
                <w:sz w:val="16"/>
              </w:rPr>
              <w:t>First Attendance FRD. Records all approved R1-R30 as implemented across commits b23c528b and 5ac6970d, with later committed corrections and search registration through 850e5b45. Backend evidence only; no deployment claim.</w:t>
            </w:r>
          </w:p>
        </w:tc>
      </w:tr>
      <w:tblGrid>
        <w:gridCol w:w="3489"/>
        <w:gridCol w:w="3489"/>
        <w:gridCol w:w="3489"/>
      </w:tblGrid>
      <w:tr>
        <w:trPr>
          <w:tblHeader w:val="true"/>
        </w:trPr>
        <w:tc>
          <w:tcPr>
            <w:tcW w:type="dxa" w:w="3489"/>
            <w:shd w:fill="1F4E78"/>
            <w:vAlign w:val="center"/>
          </w:tcPr>
          <w:p>
            <w:r>
              <w:t>1.0.1</w:t>
            </w:r>
            <w:r>
              <w:rPr>
                <w:b/>
                <w:color w:val="FFFFFF"/>
                <w:sz w:val="16"/>
              </w:rPr>
            </w:r>
          </w:p>
        </w:tc>
        <w:tc>
          <w:tcPr>
            <w:tcW w:type="dxa" w:w="3489"/>
            <w:shd w:fill="1F4E78"/>
            <w:vAlign w:val="center"/>
          </w:tcPr>
          <w:p>
            <w:r>
              <w:t>19 October 2026</w:t>
            </w:r>
            <w:r>
              <w:rPr>
                <w:b/>
                <w:color w:val="FFFFFF"/>
                <w:sz w:val="16"/>
              </w:rPr>
            </w:r>
          </w:p>
        </w:tc>
        <w:tc>
          <w:tcPr>
            <w:tcW w:type="dxa" w:w="3489"/>
            <w:shd w:fill="1F4E78"/>
            <w:vAlign w:val="center"/>
          </w:tcPr>
          <w:p>
            <w:r>
              <w:t>Documents the pupil portal attendance read. No broader status or roadmap meaning changes.</w:t>
            </w:r>
            <w:r>
              <w:rPr>
                <w:b/>
                <w:color w:val="FFFFFF"/>
                <w:sz w:val="16"/>
              </w:rPr>
            </w:r>
          </w:p>
        </w:tc>
      </w:tr>
      <w:tr>
        <w:tc>
          <w:tcPr>
            <w:tcW w:type="dxa" w:w="3489"/>
            <w:vAlign w:val="center"/>
          </w:tcPr>
          <w:p>
            <w:r/>
            <w:r>
              <w:rPr>
                <w:b w:val="0"/>
                <w:sz w:val="16"/>
              </w:rPr>
              <w:t>1.0</w:t>
            </w:r>
          </w:p>
        </w:tc>
        <w:tc>
          <w:tcPr>
            <w:tcW w:type="dxa" w:w="3489"/>
            <w:vAlign w:val="center"/>
          </w:tcPr>
          <w:p>
            <w:r/>
            <w:r>
              <w:rPr>
                <w:b w:val="0"/>
                <w:sz w:val="16"/>
              </w:rPr>
              <w:t>14 October 2026</w:t>
            </w:r>
          </w:p>
        </w:tc>
        <w:tc>
          <w:tcPr>
            <w:tcW w:type="dxa" w:w="3489"/>
            <w:vAlign w:val="center"/>
          </w:tcPr>
          <w:p>
            <w:r/>
            <w:r>
              <w:rPr>
                <w:b w:val="0"/>
                <w:sz w:val="16"/>
              </w:rPr>
              <w:t>First Attendance FRD. Records all approved R1-R30 as implemented across commits b23c528b and 5ac6970d, with later committed corrections and search registration through 850e5b45. Backend evidence only; no deployment claim.</w:t>
            </w:r>
          </w:p>
        </w:tc>
      </w:tr>
    </w:tbl>
    <w:p/>
    <w:sectPr w:rsidR="009D0EA2">
      <w:headerReference w:type="even" r:id="rId7"/>
      <w:headerReference w:type="default" r:id="rId8"/>
      <w:footerReference w:type="default" r:id="rId9"/>
      <w:headerReference w:type="first" r:id="rId10"/>
      <w:footerReference w:type="first" r:id="rId14"/>
      <w:footerReference w:type="even" r:id="rId15"/>
      <w:pgSz w:w="11906" w:h="16838"/>
      <w:pgMar w:top="1080" w:right="720" w:bottom="893" w:left="720" w:header="560" w:footer="560" w:gutter="0"/>
      <w:pgBorders w:offsetFrom="page">
        <w:left w:val="dotted" w:sz="4" w:space="24" w:color="auto"/>
        <w:right w:val="dotted" w:sz="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8E21791" w14:textId="77777777" w:rsidR="009D0EA2" w:rsidRDefault="009D0EA2">
      <w:r>
        <w:separator/>
      </w:r>
    </w:p>
  </w:endnote>
  <w:endnote w:type="continuationSeparator" w:id="0">
    <w:p w14:paraId="5455C193" w14:textId="77777777" w:rsidR="009D0EA2" w:rsidRDefault="009D0EA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Narrow">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E26574D" w14:textId="77777777" w:rsidR="00B06F99" w:rsidRDefault="00000000">
    <w:pPr>
      <w:pBdr>
        <w:top w:val="single" w:sz="6" w:space="4" w:color="BFBFBF"/>
      </w:pBdr>
      <w:jc w:val="right"/>
    </w:pPr>
    <w:r>
      <w:rPr>
        <w:color w:val="5A6472"/>
        <w:szCs w:val="18"/>
      </w:rPr>
      <w:fldChar w:fldCharType="begin"/>
    </w:r>
    <w:r>
      <w:rPr>
        <w:color w:val="5A6472"/>
        <w:szCs w:val="18"/>
      </w:rPr>
      <w:instrText>PAGE</w:instrText>
    </w:r>
    <w:r>
      <w:rPr>
        <w:color w:val="5A6472"/>
        <w:szCs w:val="18"/>
      </w:rPr>
      <w:fldChar w:fldCharType="separate"/>
    </w:r>
    <w:r w:rsidR="008F44EE">
      <w:rPr>
        <w:noProof/>
        <w:color w:val="5A6472"/>
        <w:szCs w:val="18"/>
      </w:rPr>
      <w:t>3</w:t>
    </w:r>
    <w:r>
      <w:rPr>
        <w:color w:val="5A6472"/>
        <w:szCs w:val="18"/>
      </w:rPr>
      <w:fldChar w:fldCharType="end"/>
    </w:r>
    <w:r>
      <w:rPr>
        <w:color w:val="5A6472"/>
        <w:szCs w:val="18"/>
      </w:rPr>
      <w:t xml:space="preserve"> | P a g e</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7D756A4" w14:textId="77777777" w:rsidR="009D0EA2" w:rsidRDefault="009D0EA2">
      <w:r>
        <w:separator/>
      </w:r>
    </w:p>
  </w:footnote>
  <w:footnote w:type="continuationSeparator" w:id="0">
    <w:p w14:paraId="4F82DB6D" w14:textId="77777777" w:rsidR="009D0EA2" w:rsidRDefault="009D0EA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1EC25A3" w14:textId="77777777" w:rsidR="00B06F99" w:rsidRDefault="00000000">
    <w:pPr>
      <w:pBdr>
        <w:bottom w:val="single" w:sz="12" w:space="5" w:color="355B9D"/>
      </w:pBdr>
      <w:tabs>
        <w:tab w:val="right" w:pos="10466"/>
      </w:tabs>
      <w:spacing w:after="0"/>
    </w:pPr>
    <w:r>
      <w:rPr>
        <w:rFonts w:eastAsia="Aptos Narrow" w:cs="Aptos Narrow"/>
        <w:color w:val="355B9D"/>
        <w:sz w:val="17"/>
        <w:szCs w:val="18"/>
      </w:rPr>
      <w:t>CodeX | Billing &amp; Invoicing | Functional Requirements Document (FRD)</w:t>
    </w:r>
    <w:r>
      <w:tab/>
    </w:r>
    <w:r>
      <w:rPr>
        <w:noProof/>
      </w:rPr>
      <w:drawing>
        <wp:inline distT="0" distB="0" distL="0" distR="0" wp14:anchorId="472627C1" wp14:editId="1DCFDFCC">
          <wp:extent cx="247650" cy="209550"/>
          <wp:effectExtent l="0" t="0" r="0" b="0"/>
          <wp:docPr id="1359901648"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247650" cy="209550"/>
                  </a:xfrm>
                  <a:prstGeom prst="rect">
                    <a:avLst/>
                  </a:prstGeom>
                </pic:spPr>
              </pic:pic>
            </a:graphicData>
          </a:graphic>
        </wp:inline>
      </w:drawing>
    </w:r>
    <w:r>
      <w:rPr>
        <w:noProof/>
      </w:rPr>
      <w:drawing>
        <wp:anchor distT="0" distB="0" distL="0" distR="0" simplePos="0" relativeHeight="251657728" behindDoc="1" locked="0" layoutInCell="1" allowOverlap="1" wp14:anchorId="4AC94FEE" wp14:editId="280C277E">
          <wp:simplePos x="0" y="0"/>
          <wp:positionH relativeFrom="page">
            <wp:align>center</wp:align>
          </wp:positionH>
          <wp:positionV relativeFrom="page">
            <wp:align>center</wp:align>
          </wp:positionV>
          <wp:extent cx="2857500" cy="2381250"/>
          <wp:effectExtent l="0" t="0" r="0" b="0"/>
          <wp:wrapNone/>
          <wp:docPr id="2012909521"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857500" cy="2381250"/>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42B8AC7" w14:textId="77777777" w:rsidR="00B06F99" w:rsidRDefault="004B4937">
    <w:pPr>
      <w:pBdr>
        <w:bottom w:val="single" w:sz="12" w:space="5" w:color="355B9D"/>
      </w:pBdr>
      <w:tabs>
        <w:tab w:val="right" w:pos="10466"/>
      </w:tabs>
      <w:spacing w:after="0"/>
    </w:pPr>
    <w:r>
      <w:rPr>
        <w:noProof/>
      </w:rPr>
      <w:t>CodeX | Attendance Management | Functional Requirements Document (FRD)</w:t>
      <w:tab/>
    </w:r>
    <w:r>
      <w:rPr>
        <w:rFonts w:eastAsia="Aptos Narrow" w:cs="Aptos Narrow"/>
        <w:color w:val="355B9D"/>
        <w:sz w:val="17"/>
        <w:szCs w:val="18"/>
      </w:rPr>
    </w:r>
    <w:r/>
    <w:r>
      <w:rPr>
        <w:noProof/>
      </w:rPr>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6EC6DD7" w14:textId="77777777" w:rsidR="00B06F99" w:rsidRDefault="00000000">
    <w:r>
      <w:rPr>
        <w:noProof/>
      </w:rPr>
      <w:drawing>
        <wp:anchor distT="0" distB="0" distL="0" distR="0" simplePos="0" relativeHeight="251658752" behindDoc="1" locked="0" layoutInCell="1" allowOverlap="1" wp14:anchorId="60548E07" wp14:editId="26D99E2D">
          <wp:simplePos x="0" y="0"/>
          <wp:positionH relativeFrom="page">
            <wp:posOffset>0</wp:posOffset>
          </wp:positionH>
          <wp:positionV relativeFrom="page">
            <wp:posOffset>0</wp:posOffset>
          </wp:positionV>
          <wp:extent cx="7562850" cy="10696575"/>
          <wp:effectExtent l="0" t="0" r="0" b="0"/>
          <wp:wrapNone/>
          <wp:docPr id="848969519" name="cover" descr="cityscape cover" title="co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7562850" cy="1069657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204F5E"/>
    <w:multiLevelType w:val="hybridMultilevel"/>
    <w:tmpl w:val="16E4A6B2"/>
    <w:lvl w:ilvl="0" w:tplc="6E0424D6">
      <w:start w:val="1"/>
      <w:numFmt w:val="bullet"/>
      <w:lvlText w:val="•"/>
      <w:lvlJc w:val="left"/>
      <w:pPr>
        <w:ind w:left="460" w:hanging="260"/>
      </w:pPr>
      <w:rPr>
        <w:color w:val="4472C4"/>
      </w:rPr>
    </w:lvl>
    <w:lvl w:ilvl="1" w:tplc="722EB47C">
      <w:numFmt w:val="decimal"/>
      <w:lvlText w:val=""/>
      <w:lvlJc w:val="left"/>
    </w:lvl>
    <w:lvl w:ilvl="2" w:tplc="927ACA02">
      <w:numFmt w:val="decimal"/>
      <w:lvlText w:val=""/>
      <w:lvlJc w:val="left"/>
    </w:lvl>
    <w:lvl w:ilvl="3" w:tplc="2E525AA0">
      <w:numFmt w:val="decimal"/>
      <w:lvlText w:val=""/>
      <w:lvlJc w:val="left"/>
    </w:lvl>
    <w:lvl w:ilvl="4" w:tplc="401604F2">
      <w:numFmt w:val="decimal"/>
      <w:lvlText w:val=""/>
      <w:lvlJc w:val="left"/>
    </w:lvl>
    <w:lvl w:ilvl="5" w:tplc="1E0E7D50">
      <w:numFmt w:val="decimal"/>
      <w:lvlText w:val=""/>
      <w:lvlJc w:val="left"/>
    </w:lvl>
    <w:lvl w:ilvl="6" w:tplc="F9C240A4">
      <w:numFmt w:val="decimal"/>
      <w:lvlText w:val=""/>
      <w:lvlJc w:val="left"/>
    </w:lvl>
    <w:lvl w:ilvl="7" w:tplc="55AC28D6">
      <w:numFmt w:val="decimal"/>
      <w:lvlText w:val=""/>
      <w:lvlJc w:val="left"/>
    </w:lvl>
    <w:lvl w:ilvl="8" w:tplc="02C0F3A8">
      <w:numFmt w:val="decimal"/>
      <w:lvlText w:val=""/>
      <w:lvlJc w:val="left"/>
    </w:lvl>
  </w:abstractNum>
  <w:abstractNum w:abstractNumId="1" w15:restartNumberingAfterBreak="0">
    <w:nsid w:val="7D452660"/>
    <w:multiLevelType w:val="hybridMultilevel"/>
    <w:tmpl w:val="F7FC3EB2"/>
    <w:lvl w:ilvl="0" w:tplc="997A7784">
      <w:start w:val="1"/>
      <w:numFmt w:val="bullet"/>
      <w:lvlText w:val="●"/>
      <w:lvlJc w:val="left"/>
      <w:pPr>
        <w:ind w:left="720" w:hanging="360"/>
      </w:pPr>
    </w:lvl>
    <w:lvl w:ilvl="1" w:tplc="8818974E">
      <w:start w:val="1"/>
      <w:numFmt w:val="bullet"/>
      <w:lvlText w:val="○"/>
      <w:lvlJc w:val="left"/>
      <w:pPr>
        <w:ind w:left="1440" w:hanging="360"/>
      </w:pPr>
    </w:lvl>
    <w:lvl w:ilvl="2" w:tplc="382C4E56">
      <w:start w:val="1"/>
      <w:numFmt w:val="bullet"/>
      <w:lvlText w:val="■"/>
      <w:lvlJc w:val="left"/>
      <w:pPr>
        <w:ind w:left="2160" w:hanging="360"/>
      </w:pPr>
    </w:lvl>
    <w:lvl w:ilvl="3" w:tplc="AB381E2C">
      <w:start w:val="1"/>
      <w:numFmt w:val="bullet"/>
      <w:lvlText w:val="●"/>
      <w:lvlJc w:val="left"/>
      <w:pPr>
        <w:ind w:left="2880" w:hanging="360"/>
      </w:pPr>
    </w:lvl>
    <w:lvl w:ilvl="4" w:tplc="F2E6E986">
      <w:start w:val="1"/>
      <w:numFmt w:val="bullet"/>
      <w:lvlText w:val="○"/>
      <w:lvlJc w:val="left"/>
      <w:pPr>
        <w:ind w:left="3600" w:hanging="360"/>
      </w:pPr>
    </w:lvl>
    <w:lvl w:ilvl="5" w:tplc="3DF0A4E6">
      <w:start w:val="1"/>
      <w:numFmt w:val="bullet"/>
      <w:lvlText w:val="■"/>
      <w:lvlJc w:val="left"/>
      <w:pPr>
        <w:ind w:left="4320" w:hanging="360"/>
      </w:pPr>
    </w:lvl>
    <w:lvl w:ilvl="6" w:tplc="8D6AC05C">
      <w:start w:val="1"/>
      <w:numFmt w:val="bullet"/>
      <w:lvlText w:val="●"/>
      <w:lvlJc w:val="left"/>
      <w:pPr>
        <w:ind w:left="5040" w:hanging="360"/>
      </w:pPr>
    </w:lvl>
    <w:lvl w:ilvl="7" w:tplc="20F01714">
      <w:start w:val="1"/>
      <w:numFmt w:val="bullet"/>
      <w:lvlText w:val="●"/>
      <w:lvlJc w:val="left"/>
      <w:pPr>
        <w:ind w:left="5760" w:hanging="360"/>
      </w:pPr>
    </w:lvl>
    <w:lvl w:ilvl="8" w:tplc="AE7660C8">
      <w:start w:val="1"/>
      <w:numFmt w:val="bullet"/>
      <w:lvlText w:val="●"/>
      <w:lvlJc w:val="left"/>
      <w:pPr>
        <w:ind w:left="6480" w:hanging="360"/>
      </w:pPr>
    </w:lvl>
  </w:abstractNum>
  <w:num w:numId="1" w16cid:durableId="1407534841">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6F99"/>
    <w:rsid w:val="000D42B9"/>
    <w:rsid w:val="000E3B70"/>
    <w:rsid w:val="00115784"/>
    <w:rsid w:val="00140AC7"/>
    <w:rsid w:val="00181B60"/>
    <w:rsid w:val="002E2222"/>
    <w:rsid w:val="00472341"/>
    <w:rsid w:val="00483C9E"/>
    <w:rsid w:val="00491325"/>
    <w:rsid w:val="004B4937"/>
    <w:rsid w:val="00603681"/>
    <w:rsid w:val="006B3CEE"/>
    <w:rsid w:val="008F44EE"/>
    <w:rsid w:val="009D0EA2"/>
    <w:rsid w:val="00A62A3E"/>
    <w:rsid w:val="00B06F99"/>
    <w:rsid w:val="00BC5CB6"/>
    <w:rsid w:val="00BD37DE"/>
    <w:rsid w:val="00C24B07"/>
    <w:rsid w:val="00CF0ADF"/>
    <w:rsid w:val="00D11A40"/>
    <w:rsid w:val="00DF3480"/>
    <w:rsid w:val="00DF58C5"/>
    <w:rsid w:val="00E02108"/>
    <w:rsid w:val="00E51340"/>
    <w:rsid w:val="00E62093"/>
    <w:rsid w:val="00E73CFF"/>
    <w:rsid w:val="00E748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FEB547"/>
  <w15:docId w15:val="{E19EA510-7BB3-A245-84A4-5CC32F08D5CD}"/>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ptos" w:eastAsia="Aptos" w:hAnsi="Aptos" w:cs="Aptos"/>
        <w:color w:val="1A1A1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60"/>
    </w:pPr>
    <w:rPr>
      <w:rFonts w:ascii="Aptos Narrow" w:hAnsi="Aptos Narrow"/>
      <w:sz w:val="18"/>
    </w:rPr>
  </w:style>
  <w:style w:type="paragraph" w:styleId="Heading1">
    <w:name w:val="heading 1"/>
    <w:uiPriority w:val="9"/>
    <w:qFormat/>
    <w:pPr>
      <w:spacing w:before="300" w:after="160"/>
      <w:outlineLvl w:val="0"/>
    </w:pPr>
    <w:rPr>
      <w:rFonts w:ascii="Aptos Narrow" w:eastAsia="Aptos Narrow" w:hAnsi="Aptos Narrow" w:cs="Aptos Narrow"/>
      <w:b/>
      <w:bCs/>
      <w:color w:val="000000"/>
      <w:sz w:val="34"/>
      <w:szCs w:val="34"/>
    </w:rPr>
  </w:style>
  <w:style w:type="paragraph" w:styleId="Heading2">
    <w:name w:val="heading 2"/>
    <w:uiPriority w:val="9"/>
    <w:unhideWhenUsed/>
    <w:qFormat/>
    <w:pPr>
      <w:spacing w:before="220" w:after="120"/>
      <w:outlineLvl w:val="1"/>
    </w:pPr>
    <w:rPr>
      <w:rFonts w:ascii="Aptos Narrow" w:eastAsia="Aptos Narrow" w:hAnsi="Aptos Narrow" w:cs="Aptos Narrow"/>
      <w:b/>
      <w:bCs/>
      <w:color w:val="000000"/>
      <w:sz w:val="27"/>
      <w:szCs w:val="27"/>
    </w:rPr>
  </w:style>
  <w:style w:type="paragraph" w:styleId="Heading3">
    <w:name w:val="heading 3"/>
    <w:uiPriority w:val="9"/>
    <w:semiHidden/>
    <w:unhideWhenUsed/>
    <w:qFormat/>
    <w:pPr>
      <w:spacing w:before="160" w:after="80"/>
      <w:outlineLvl w:val="2"/>
    </w:pPr>
    <w:rPr>
      <w:rFonts w:ascii="Aptos Narrow" w:eastAsia="Aptos Narrow" w:hAnsi="Aptos Narrow" w:cs="Aptos Narrow"/>
      <w:b/>
      <w:bCs/>
      <w:color w:val="1F3763"/>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8F44EE"/>
    <w:pPr>
      <w:spacing w:after="100"/>
    </w:pPr>
  </w:style>
  <w:style w:type="paragraph" w:styleId="TOC2">
    <w:name w:val="toc 2"/>
    <w:basedOn w:val="Normal"/>
    <w:next w:val="Normal"/>
    <w:autoRedefine/>
    <w:uiPriority w:val="39"/>
    <w:unhideWhenUsed/>
    <w:rsid w:val="008F44EE"/>
    <w:pPr>
      <w:spacing w:after="100"/>
      <w:ind w:left="220"/>
    </w:pPr>
  </w:style>
  <w:style w:type="paragraph" w:styleId="Footer">
    <w:name w:val="footer"/>
    <w:basedOn w:val="Normal"/>
    <w:link w:val="FooterChar"/>
    <w:uiPriority w:val="99"/>
    <w:unhideWhenUsed/>
    <w:rsid w:val="004B4937"/>
    <w:pPr>
      <w:tabs>
        <w:tab w:val="center" w:pos="4680"/>
        <w:tab w:val="right" w:pos="9360"/>
      </w:tabs>
    </w:pPr>
  </w:style>
  <w:style w:type="character" w:customStyle="1" w:styleId="FooterChar">
    <w:name w:val="Footer Char"/>
    <w:basedOn w:val="DefaultParagraphFont"/>
    <w:link w:val="Footer"/>
    <w:uiPriority w:val="99"/>
    <w:rsid w:val="004B493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footer" Target="footer1.xml"/><Relationship Id="rId13" Type="http://schemas.openxmlformats.org/officeDocument/2006/relationships/image" Target="media/image1.png"/><Relationship Id="rId14" Type="http://schemas.openxmlformats.org/officeDocument/2006/relationships/footer" Target="footer2.xml"/><Relationship Id="rId15" Type="http://schemas.openxmlformats.org/officeDocument/2006/relationships/footer" Target="footer3.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24</TotalTime>
  <Pages>16</Pages>
  <Words>4601</Words>
  <Characters>26229</Characters>
  <Application>Microsoft Office Word</Application>
  <DocSecurity>0</DocSecurity>
  <Lines>218</Lines>
  <Paragraphs>61</Paragraphs>
  <ScaleCrop>false</ScaleCrop>
  <HeadingPairs>
    <vt:vector size="2" baseType="variant">
      <vt:variant>
        <vt:lpstr>Title</vt:lpstr>
      </vt:variant>
      <vt:variant>
        <vt:i4>1</vt:i4>
      </vt:variant>
    </vt:vector>
  </HeadingPairs>
  <TitlesOfParts>
    <vt:vector size="1" baseType="lpstr">
      <vt:lpstr>School and Branch Management Functional Requirements Document v1.1</vt:lpstr>
    </vt:vector>
  </TitlesOfParts>
  <Company/>
  <LinksUpToDate>false</LinksUpToDate>
  <CharactersWithSpaces>30769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Workflow and Approval Engine Functional Requirements Document v1.0</dc:title>
  <dc:subject>Code-aligned functional requirements for XVS Module 1</dc:subject>
  <dc:creator>CodeX Team</dc:creator>
  <dc:description>Built from v2.2 visual template and reviewed against the current backend worktree.</dc:description>
  <cp:lastModifiedBy>Chidera Ohiaekpete</cp:lastModifiedBy>
  <cp:revision>6</cp:revision>
  <cp:lastPrinted>2026-07-17T18:03:00Z</cp:lastPrinted>
  <dcterms:created xsi:type="dcterms:W3CDTF">2026-07-17T18:03:00Z</dcterms:created>
  <dcterms:modified xsi:type="dcterms:W3CDTF">2026-08-11T15:03:00Z</dcterms:modified>
  <cp:version>1.0</cp:version>
</cp:coreProperties>
</file>