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2.6.0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2.6.0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12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backend codebase at 3edb2ed1fb0e6e82e21234561a1648175e18c453 (12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A4EB30C" w14:textId="77777777" w:rsidR="00472341" w:rsidRDefault="00000000">
            <w:pPr>
              <w:spacing w:after="0" w:before="0" w:line="240" w:lineRule="auto"/>
              <w:jc w:val="left"/>
            </w:pPr>
            <w:r>
              <w:rPr>
                <w:rFonts w:ascii="Aptos Narrow" w:hAnsi="Aptos Narrow"/>
                <w:b w:val="0"/>
                <w:color w:val="000000"/>
                <w:sz w:val="17"/>
              </w:rPr>
              <w:t>390</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355B9D"/>
                <w:sz w:val="17"/>
              </w:rPr>
              <w:t>5. v2.6.0 Change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Approver model replacement, tenant scoping fixes, and status changes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21</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14</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4D849F52" w14:textId="77777777" w:rsidR="00472341" w:rsidRDefault="00000000">
            <w:pPr>
              <w:spacing w:after="20"/>
              <w:ind w:left="86" w:hanging="86"/>
            </w:pPr>
            <w:r>
              <w:rPr>
                <w:sz w:val="16"/>
              </w:rPr>
              <w:t>• Fix branch lifecycle transitions: the current save call references a deleted_at field that Branch does not define.</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Central templates are shared across tenants and each tenant may repoint an individual step.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gridSpan w:val="2"/>
            <w:shd w:val="clear" w:color="auto" w:fill="FFFFFF"/>
            <w:tcMar>
              <w:top w:w="70" w:type="dxa"/>
              <w:left w:w="90" w:type="dxa"/>
              <w:bottom w:w="70" w:type="dxa"/>
              <w:right w:w="90" w:type="dxa"/>
            </w:tcMar>
            <w:vAlign w:val="center"/>
          </w:tcPr>
          <w:p w14:paraId="206CA97D" w14:textId="77777777" w:rsidR="00472341" w:rsidRDefault="00000000">
            <w:pPr>
              <w:spacing w:after="0"/>
            </w:pPr>
            <w:r>
              <w:rPr>
                <w:color w:val="000000"/>
                <w:sz w:val="16"/>
              </w:rPr>
              <w:t>▸  Conditional routing and branch paths</w:t>
            </w:r>
          </w:p>
        </w:tc>
      </w:tr>
      <w:tr w:rsidR="00472341" w14:paraId="69B5B8B1" w14:textId="77777777">
        <w:trPr>
          <w:cantSplit/>
          <w:jc w:val="center"/>
        </w:trPr>
        <w:tc>
          <w:tcPr>
            <w:tcW w:w="5126" w:type="dxa"/>
            <w:shd w:val="clear" w:color="auto" w:fill="F2F5FA"/>
            <w:tcMar>
              <w:top w:w="70" w:type="dxa"/>
              <w:left w:w="90" w:type="dxa"/>
              <w:bottom w:w="70" w:type="dxa"/>
              <w:right w:w="90" w:type="dxa"/>
            </w:tcMar>
            <w:vAlign w:val="center"/>
          </w:tcPr>
          <w:p w14:paraId="66E0A7AB" w14:textId="77777777" w:rsidR="00472341" w:rsidRDefault="00000000">
            <w:pPr>
              <w:spacing w:after="0"/>
            </w:pPr>
            <w:r>
              <w:rPr>
                <w:color w:val="000000"/>
                <w:sz w:val="16"/>
              </w:rPr>
              <w:t>▸  Any, quorum, and unanimous approval modes</w:t>
            </w:r>
          </w:p>
        </w:tc>
        <w:tc>
          <w:tcPr>
            <w:tcW w:w="5126" w:type="dxa"/>
            <w:gridSpan w:val="2"/>
            <w:shd w:val="clear" w:color="auto" w:fill="F2F5FA"/>
            <w:tcMar>
              <w:top w:w="70" w:type="dxa"/>
              <w:left w:w="90" w:type="dxa"/>
              <w:bottom w:w="70" w:type="dxa"/>
              <w:right w:w="90" w:type="dxa"/>
            </w:tcMar>
            <w:vAlign w:val="center"/>
          </w:tcPr>
          <w:p w14:paraId="538D2AF4" w14:textId="77777777" w:rsidR="00472341" w:rsidRDefault="00000000">
            <w:pPr>
              <w:spacing w:after="0"/>
            </w:pPr>
            <w:r>
              <w:rPr>
                <w:color w:val="000000"/>
                <w:sz w:val="16"/>
              </w:rPr>
              <w:t>▸  Role-based approver resolution</w:t>
            </w:r>
          </w:p>
        </w:tc>
      </w:tr>
      <w:tr w:rsidR="00472341" w14:paraId="5C71C30D" w14:textId="77777777">
        <w:trPr>
          <w:cantSplit/>
          <w:jc w:val="center"/>
        </w:trPr>
        <w:tc>
          <w:tcPr>
            <w:tcW w:w="5126" w:type="dxa"/>
            <w:shd w:val="clear" w:color="auto" w:fill="FFFFFF"/>
            <w:tcMar>
              <w:top w:w="70" w:type="dxa"/>
              <w:left w:w="90" w:type="dxa"/>
              <w:bottom w:w="70" w:type="dxa"/>
              <w:right w:w="90" w:type="dxa"/>
            </w:tcMar>
            <w:vAlign w:val="center"/>
          </w:tcPr>
          <w:p w14:paraId="7B7B4746" w14:textId="77777777" w:rsidR="00472341" w:rsidRDefault="00000000">
            <w:pPr>
              <w:spacing w:after="0"/>
            </w:pPr>
            <w:r>
              <w:rPr>
                <w:color w:val="000000"/>
                <w:sz w:val="16"/>
              </w:rPr>
              <w:t>▸  Organogram-based approver resolution</w:t>
            </w:r>
          </w:p>
        </w:tc>
        <w:tc>
          <w:tcPr>
            <w:tcW w:w="5126" w:type="dxa"/>
            <w:gridSpan w:val="2"/>
            <w:shd w:val="clear" w:color="auto" w:fill="FFFFFF"/>
            <w:tcMar>
              <w:top w:w="70" w:type="dxa"/>
              <w:left w:w="90" w:type="dxa"/>
              <w:bottom w:w="70" w:type="dxa"/>
              <w:right w:w="90" w:type="dxa"/>
            </w:tcMar>
            <w:vAlign w:val="center"/>
          </w:tcPr>
          <w:p w14:paraId="436A34A0" w14:textId="77777777" w:rsidR="00472341" w:rsidRDefault="00000000">
            <w:pPr>
              <w:spacing w:after="0"/>
            </w:pPr>
            <w:r>
              <w:rPr>
                <w:color w:val="000000"/>
                <w:sz w:val="16"/>
              </w:rPr>
              <w:t>▸  Entity and branch scope context</w:t>
            </w:r>
          </w:p>
        </w:tc>
      </w:tr>
      <w:tr w:rsidR="00472341" w14:paraId="18D22970" w14:textId="77777777">
        <w:trPr>
          <w:cantSplit/>
          <w:jc w:val="center"/>
        </w:trPr>
        <w:tc>
          <w:tcPr>
            <w:tcW w:w="5126" w:type="dxa"/>
            <w:shd w:val="clear" w:color="auto" w:fill="F2F5FA"/>
            <w:tcMar>
              <w:top w:w="70" w:type="dxa"/>
              <w:left w:w="90" w:type="dxa"/>
              <w:bottom w:w="70" w:type="dxa"/>
              <w:right w:w="90" w:type="dxa"/>
            </w:tcMar>
            <w:vAlign w:val="center"/>
          </w:tcPr>
          <w:p w14:paraId="1354BD44" w14:textId="77777777" w:rsidR="00472341" w:rsidRDefault="00000000">
            <w:pPr>
              <w:spacing w:after="0"/>
            </w:pPr>
            <w:r>
              <w:rPr>
                <w:color w:val="000000"/>
                <w:sz w:val="16"/>
              </w:rPr>
              <w:t>▸  Submit, approve, reject, return, cancel, and resubmit</w:t>
            </w:r>
          </w:p>
        </w:tc>
        <w:tc>
          <w:tcPr>
            <w:tcW w:w="5126" w:type="dxa"/>
            <w:gridSpan w:val="2"/>
            <w:shd w:val="clear" w:color="auto" w:fill="F2F5FA"/>
            <w:tcMar>
              <w:top w:w="70" w:type="dxa"/>
              <w:left w:w="90" w:type="dxa"/>
              <w:bottom w:w="70" w:type="dxa"/>
              <w:right w:w="90" w:type="dxa"/>
            </w:tcMar>
            <w:vAlign w:val="center"/>
          </w:tcPr>
          <w:p w14:paraId="34ED90A0" w14:textId="77777777" w:rsidR="00472341" w:rsidRDefault="00000000">
            <w:pPr>
              <w:spacing w:after="0"/>
            </w:pPr>
            <w:r>
              <w:rPr>
                <w:color w:val="000000"/>
                <w:sz w:val="16"/>
              </w:rPr>
              <w:t>▸  No-approver handling policy</w:t>
            </w:r>
          </w:p>
        </w:tc>
      </w:tr>
      <w:tr w:rsidR="00472341" w14:paraId="27B8C63A" w14:textId="77777777">
        <w:trPr>
          <w:cantSplit/>
          <w:jc w:val="center"/>
        </w:trPr>
        <w:tc>
          <w:tcPr>
            <w:tcW w:w="5126" w:type="dxa"/>
            <w:shd w:val="clear" w:color="auto" w:fill="FFFFFF"/>
            <w:tcMar>
              <w:top w:w="70" w:type="dxa"/>
              <w:left w:w="90" w:type="dxa"/>
              <w:bottom w:w="70" w:type="dxa"/>
              <w:right w:w="90" w:type="dxa"/>
            </w:tcMar>
            <w:vAlign w:val="center"/>
          </w:tcPr>
          <w:p w14:paraId="518C62F6" w14:textId="77777777" w:rsidR="00472341" w:rsidRDefault="00000000">
            <w:pPr>
              <w:spacing w:after="0"/>
            </w:pPr>
            <w:r>
              <w:rPr>
                <w:color w:val="000000"/>
                <w:sz w:val="16"/>
              </w:rPr>
              <w:t>▸  Action reversal and decision history</w:t>
            </w:r>
          </w:p>
        </w:tc>
        <w:tc>
          <w:tcPr>
            <w:tcW w:w="5126" w:type="dxa"/>
            <w:gridSpan w:val="2"/>
            <w:shd w:val="clear" w:color="auto" w:fill="FFFFFF"/>
            <w:tcMar>
              <w:top w:w="70" w:type="dxa"/>
              <w:left w:w="90" w:type="dxa"/>
              <w:bottom w:w="70" w:type="dxa"/>
              <w:right w:w="90" w:type="dxa"/>
            </w:tcMar>
            <w:vAlign w:val="center"/>
          </w:tcPr>
          <w:p w14:paraId="11BD56D4" w14:textId="77777777" w:rsidR="00472341" w:rsidRDefault="00000000">
            <w:pPr>
              <w:spacing w:after="0"/>
            </w:pPr>
            <w:r>
              <w:rPr>
                <w:color w:val="000000"/>
                <w:sz w:val="16"/>
              </w:rPr>
              <w:t>▸  Approval delegation</w:t>
            </w:r>
          </w:p>
        </w:tc>
      </w:tr>
      <w:tr w:rsidR="00472341" w14:paraId="71CF06B7" w14:textId="77777777">
        <w:trPr>
          <w:cantSplit/>
          <w:jc w:val="center"/>
        </w:trPr>
        <w:tc>
          <w:tcPr>
            <w:tcW w:w="5126" w:type="dxa"/>
            <w:shd w:val="clear" w:color="auto" w:fill="F2F5FA"/>
            <w:tcMar>
              <w:top w:w="70" w:type="dxa"/>
              <w:left w:w="90" w:type="dxa"/>
              <w:bottom w:w="70" w:type="dxa"/>
              <w:right w:w="90" w:type="dxa"/>
            </w:tcMar>
            <w:vAlign w:val="center"/>
          </w:tcPr>
          <w:p w14:paraId="76997649" w14:textId="77777777" w:rsidR="00472341" w:rsidRDefault="00000000">
            <w:pPr>
              <w:spacing w:after="0"/>
            </w:pPr>
            <w:r>
              <w:rPr>
                <w:color w:val="000000"/>
                <w:sz w:val="16"/>
              </w:rPr>
              <w:t>▸  Pending, submitted, and team-load dashboards</w:t>
            </w:r>
          </w:p>
        </w:tc>
        <w:tc>
          <w:tcPr>
            <w:tcW w:w="5126" w:type="dxa"/>
            <w:gridSpan w:val="2"/>
            <w:shd w:val="clear" w:color="auto" w:fill="F2F5FA"/>
            <w:tcMar>
              <w:top w:w="70" w:type="dxa"/>
              <w:left w:w="90" w:type="dxa"/>
              <w:bottom w:w="70" w:type="dxa"/>
              <w:right w:w="90" w:type="dxa"/>
            </w:tcMar>
            <w:vAlign w:val="center"/>
          </w:tcPr>
          <w:p w14:paraId="785BB8D7" w14:textId="77777777" w:rsidR="00472341" w:rsidRDefault="00000000">
            <w:pPr>
              <w:spacing w:after="0"/>
            </w:pPr>
            <w:r>
              <w:rPr>
                <w:color w:val="000000"/>
                <w:sz w:val="16"/>
              </w:rPr>
              <w:t>▸  Workflow notifications</w:t>
            </w:r>
          </w:p>
        </w:tc>
      </w:tr>
      <w:tr w:rsidR="00472341" w14:paraId="413474F3" w14:textId="77777777">
        <w:trPr>
          <w:cantSplit/>
          <w:jc w:val="center"/>
        </w:trPr>
        <w:tc>
          <w:tcPr>
            <w:tcW w:w="5126" w:type="dxa"/>
            <w:shd w:val="clear" w:color="auto" w:fill="FFFFFF"/>
            <w:tcMar>
              <w:top w:w="70" w:type="dxa"/>
              <w:left w:w="90" w:type="dxa"/>
              <w:bottom w:w="70" w:type="dxa"/>
              <w:right w:w="90" w:type="dxa"/>
            </w:tcMar>
            <w:vAlign w:val="center"/>
          </w:tcPr>
          <w:p w14:paraId="2E418900" w14:textId="77777777" w:rsidR="00472341" w:rsidRDefault="00000000">
            <w:pPr>
              <w:spacing w:after="0"/>
            </w:pPr>
            <w:r>
              <w:rPr>
                <w:color w:val="000000"/>
                <w:sz w:val="16"/>
              </w:rPr>
              <w:t>▸  Finance workflow handlers</w:t>
            </w:r>
          </w:p>
        </w:tc>
        <w:tc>
          <w:tcPr>
            <w:tcW w:w="5126" w:type="dxa"/>
            <w:gridSpan w:val="2"/>
            <w:shd w:val="clear" w:color="auto" w:fill="FFFFFF"/>
            <w:tcMar>
              <w:top w:w="70" w:type="dxa"/>
              <w:left w:w="90" w:type="dxa"/>
              <w:bottom w:w="70" w:type="dxa"/>
              <w:right w:w="90" w:type="dxa"/>
            </w:tcMar>
            <w:vAlign w:val="center"/>
          </w:tcPr>
          <w:p w14:paraId="23319BD8" w14:textId="77777777" w:rsidR="00472341" w:rsidRDefault="00000000">
            <w:pPr>
              <w:spacing w:after="0"/>
            </w:pPr>
            <w:r>
              <w:rPr>
                <w:color w:val="000000"/>
                <w:sz w:val="16"/>
              </w:rPr>
              <w:t>▸  Procurement workflow handlers</w:t>
            </w:r>
          </w:p>
        </w:tc>
      </w:tr>
      <w:tr w:rsidR="00472341" w14:paraId="37FDD677" w14:textId="77777777">
        <w:trPr>
          <w:cantSplit/>
          <w:jc w:val="center"/>
        </w:trPr>
        <w:tc>
          <w:tcPr>
            <w:tcW w:w="5126" w:type="dxa"/>
            <w:shd w:val="clear" w:color="auto" w:fill="F2F5FA"/>
            <w:tcMar>
              <w:top w:w="70" w:type="dxa"/>
              <w:left w:w="90" w:type="dxa"/>
              <w:bottom w:w="70" w:type="dxa"/>
              <w:right w:w="90" w:type="dxa"/>
            </w:tcMar>
            <w:vAlign w:val="center"/>
          </w:tcPr>
          <w:p w14:paraId="1477730F" w14:textId="77777777" w:rsidR="00472341" w:rsidRDefault="00000000">
            <w:pPr>
              <w:spacing w:after="0"/>
            </w:pPr>
            <w:r>
              <w:rPr>
                <w:color w:val="000000"/>
                <w:sz w:val="16"/>
              </w:rPr>
              <w:t>▸  Payment and payout workflow handlers</w:t>
            </w:r>
          </w:p>
        </w:tc>
        <w:tc>
          <w:tcPr>
            <w:tcW w:w="5126" w:type="dxa"/>
            <w:gridSpan w:val="2"/>
            <w:shd w:val="clear" w:color="auto" w:fill="F2F5FA"/>
            <w:tcMar>
              <w:top w:w="70" w:type="dxa"/>
              <w:left w:w="90" w:type="dxa"/>
              <w:bottom w:w="70" w:type="dxa"/>
              <w:right w:w="90" w:type="dxa"/>
            </w:tcMar>
            <w:vAlign w:val="center"/>
          </w:tcPr>
          <w:p w:rsidR="00472341" w:rsidRDefault="00000000">
            <w:pPr>
              <w:spacing w:after="0"/>
            </w:pPr>
            <w:r>
              <w:rPr>
                <w:color w:val="000000"/>
                <w:sz w:val="16"/>
              </w:rPr>
              <w:t>▸  Named approver groups with mixed membership</w:t>
            </w:r>
          </w:p>
        </w:tc>
      </w:tr>
      <w:tr w:rsidR="00472341">
        <w:trPr>
          <w:cantSplit/>
          <w:jc w:val="center"/>
        </w:trPr>
        <w:tc>
          <w:tcPr>
            <w:tcW w:w="5126" w:type="dxa"/>
            <w:shd w:val="clear" w:color="auto" w:fill="FFFFFF"/>
            <w:tcMar>
              <w:top w:w="70" w:type="dxa"/>
              <w:left w:w="90" w:type="dxa"/>
              <w:bottom w:w="70" w:type="dxa"/>
              <w:right w:w="90" w:type="dxa"/>
            </w:tcMar>
            <w:vAlign w:val="center"/>
          </w:tcPr>
          <w:p w:rsidR="00472341" w:rsidRDefault="00000000">
            <w:pPr>
              <w:spacing w:after="0"/>
            </w:pPr>
            <w:r>
              <w:rPr>
                <w:color w:val="000000"/>
                <w:sz w:val="16"/>
              </w:rPr>
              <w:t>▸  Document-driven dynamic role rules</w:t>
            </w:r>
          </w:p>
        </w:tc>
        <w:tc>
          <w:tcPr>
            <w:tcW w:w="5126" w:type="dxa"/>
            <w:gridSpan w:val="2"/>
            <w:shd w:val="clear" w:color="auto" w:fill="FFFFFF"/>
            <w:tcMar>
              <w:top w:w="70" w:type="dxa"/>
              <w:left w:w="90" w:type="dxa"/>
              <w:bottom w:w="70" w:type="dxa"/>
              <w:right w:w="90" w:type="dxa"/>
            </w:tcMar>
            <w:vAlign w:val="center"/>
          </w:tcPr>
          <w:p w:rsidR="00472341" w:rsidRDefault="00000000">
            <w:pPr>
              <w:spacing w:after="0"/>
            </w:pPr>
            <w:r>
              <w:rPr>
                <w:color w:val="000000"/>
                <w:sz w:val="16"/>
              </w:rPr>
              <w:t>▸  Per-tenant approver overrides on central steps</w:t>
            </w:r>
          </w:p>
        </w:tc>
      </w:tr>
      <w:tr w:rsidR="00472341">
        <w:trPr>
          <w:cantSplit/>
          <w:jc w:val="center"/>
        </w:trPr>
        <w:tc>
          <w:tcPr>
            <w:tcW w:w="5126" w:type="dxa"/>
            <w:shd w:val="clear" w:color="auto" w:fill="FFFFFF"/>
            <w:tcMar>
              <w:top w:w="70" w:type="dxa"/>
              <w:left w:w="90" w:type="dxa"/>
              <w:bottom w:w="70" w:type="dxa"/>
              <w:right w:w="90" w:type="dxa"/>
            </w:tcMar>
            <w:vAlign w:val="center"/>
          </w:tcPr>
          <w:p w:rsidR="00472341" w:rsidRDefault="00000000">
            <w:pPr>
              <w:spacing w:after="0"/>
            </w:pPr>
            <w:r>
              <w:rPr>
                <w:color w:val="000000"/>
                <w:sz w:val="16"/>
              </w:rPr>
              <w:t>▸  Publish-time condition validation</w:t>
            </w:r>
          </w:p>
        </w:tc>
        <w:tc>
          <w:tcPr>
            <w:tcW w:w="5126" w:type="dxa"/>
            <w:gridSpan w:val="2"/>
            <w:shd w:val="clear" w:color="auto" w:fill="FFFFFF"/>
            <w:tcMar>
              <w:top w:w="70" w:type="dxa"/>
              <w:left w:w="90" w:type="dxa"/>
              <w:bottom w:w="70" w:type="dxa"/>
              <w:right w:w="90" w:type="dxa"/>
            </w:tcMar>
            <w:vAlign w:val="center"/>
          </w:tcPr>
          <w:p w:rsidR="00472341" w:rsidRDefault="00000000">
            <w:pPr>
              <w:spacing w:after="0"/>
            </w:pPr>
            <w:r>
              <w:rPr>
                <w:color w:val="000000"/>
                <w:sz w:val="16"/>
              </w:rPr>
              <w:t>▸  Approver preview and rule tracing</w:t>
            </w:r>
          </w:p>
        </w:tc>
      </w:tr>
      <w:tr w:rsidR="00472341">
        <w:trPr>
          <w:cantSplit/>
          <w:jc w:val="center"/>
        </w:trPr>
        <w:tc>
          <w:tcPr>
            <w:tcW w:w="5126" w:type="dxa"/>
            <w:shd w:val="clear" w:color="auto" w:fill="FFFFFF"/>
            <w:tcMar>
              <w:top w:w="70" w:type="dxa"/>
              <w:left w:w="90" w:type="dxa"/>
              <w:bottom w:w="70" w:type="dxa"/>
              <w:right w:w="90" w:type="dxa"/>
            </w:tcMar>
            <w:vAlign w:val="center"/>
          </w:tcPr>
          <w:p w:rsidR="00472341" w:rsidRDefault="00000000">
            <w:pPr>
              <w:spacing w:after="0"/>
            </w:pPr>
            <w:r>
              <w:rPr>
                <w:color w:val="000000"/>
                <w:sz w:val="16"/>
              </w:rPr>
              <w:t>▸  Central role coverage reporting</w:t>
            </w:r>
          </w:p>
        </w:tc>
        <w:tc>
          <w:tcPr>
            <w:tcW w:w="5126" w:type="dxa"/>
            <w:gridSpan w:val="2"/>
            <w:shd w:val="clear" w:color="auto" w:fill="FFFFFF"/>
            <w:tcMar>
              <w:top w:w="70" w:type="dxa"/>
              <w:left w:w="90" w:type="dxa"/>
              <w:bottom w:w="70" w:type="dxa"/>
              <w:right w:w="90" w:type="dxa"/>
            </w:tcMar>
            <w:vAlign w:val="center"/>
          </w:tcPr>
          <w:p w:rsidR="00472341" w:rsidRDefault="00000000">
            <w:pPr>
              <w:spacing w:after="0"/>
            </w:pPr>
            <w:r>
              <w:rPr>
                <w:color w:val="000000"/>
                <w:sz w:val="16"/>
              </w:rPr>
              <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rsidR="00472341" w:rsidRDefault="00000000">
            <w:pPr>
              <w:spacing w:after="20"/>
              <w:ind w:left="86" w:hanging="86"/>
            </w:pPr>
            <w:r>
              <w:rPr>
                <w:sz w:val="16"/>
              </w:rPr>
              <w:t>• A central step names a role by key and resolves it inside the requesting tenant. A tenant without that role resolves to no approver, and a step set to skip then passes the request unapproved. Run the role-coverage command before relying on a central template.</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3B9D73AC" w14:textId="77777777" w:rsidR="00472341" w:rsidRDefault="00000000">
            <w:pPr>
              <w:spacing w:after="20"/>
              <w:ind w:left="86" w:hanging="86"/>
            </w:pPr>
            <w:r>
              <w:rPr>
                <w:sz w:val="16"/>
              </w:rPr>
              <w:t>• Add an operator queue, replay action, and alerting for failed webhook events.</w:t>
            </w:r>
          </w:p>
          <w:p w14:paraId="226B592A" w14:textId="77777777" w:rsidR="00472341" w:rsidRDefault="00000000">
            <w:pPr>
              <w:spacing w:after="20"/>
              <w:ind w:left="86" w:hanging="86"/>
            </w:pPr>
            <w:r>
              <w:rPr>
                <w:sz w:val="16"/>
              </w:rPr>
              <w:t>• Seed and validate payout-batch approval templates during school onboarding.</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736BF812" w14:textId="77777777" w:rsidR="00472341" w:rsidRDefault="00000000">
            <w:pPr>
              <w:spacing w:after="20"/>
              <w:ind w:left="86" w:hanging="86"/>
            </w:pPr>
            <w:r>
              <w:rPr>
                <w:sz w:val="16"/>
              </w:rPr>
              <w:t>• Correct historical as-of receivables reporting so later allocations do not rewrite earlier-period views.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Procurement templates still skip a stage when no approver resolves; approval should fail closed for controlled spend. This remains open.</w:t>
            </w:r>
          </w:p>
          <w:p w14:paraId="502C2918" w14:textId="77777777" w:rsidR="00472341" w:rsidRDefault="00000000">
            <w:pPr>
              <w:spacing w:after="20"/>
              <w:ind w:left="86" w:hanging="86"/>
            </w:pPr>
            <w:r>
              <w:rPr>
                <w:sz w:val="16"/>
              </w:rPr>
              <w:t>• The default templates now name roles instead of permission keys, and each tenant can repoint a step without cloning the template. Branch-aware defaults and onboarding seeding remain open.</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44FFB06" w14:textId="77777777">
        <w:trPr>
          <w:cantSplit/>
          <w:jc w:val="center"/>
        </w:trPr>
        <w:tc>
          <w:tcPr>
            <w:tcW w:w="605" w:type="dxa"/>
            <w:shd w:val="clear" w:color="auto" w:fill="FBF1D7"/>
            <w:tcMar>
              <w:top w:w="70" w:type="dxa"/>
              <w:left w:w="90" w:type="dxa"/>
              <w:bottom w:w="70" w:type="dxa"/>
              <w:right w:w="90" w:type="dxa"/>
            </w:tcMar>
            <w:vAlign w:val="center"/>
          </w:tcPr>
          <w:p w14:paraId="65BF5D9B"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7976FFC3" w14:textId="77777777" w:rsidR="00472341" w:rsidRDefault="00000000">
            <w:pPr>
              <w:spacing w:after="0"/>
            </w:pPr>
            <w:r>
              <w:rPr>
                <w:b/>
                <w:color w:val="2E5495"/>
                <w:sz w:val="15"/>
              </w:rPr>
              <w:t>Branch transition defect</w:t>
            </w:r>
          </w:p>
        </w:tc>
        <w:tc>
          <w:tcPr>
            <w:tcW w:w="6091" w:type="dxa"/>
            <w:shd w:val="clear" w:color="auto" w:fill="FBF1D7"/>
            <w:tcMar>
              <w:top w:w="70" w:type="dxa"/>
              <w:left w:w="90" w:type="dxa"/>
              <w:bottom w:w="70" w:type="dxa"/>
              <w:right w:w="90" w:type="dxa"/>
            </w:tcMar>
            <w:vAlign w:val="center"/>
          </w:tcPr>
          <w:p w14:paraId="653ED0BA" w14:textId="77777777" w:rsidR="00472341" w:rsidRDefault="00000000">
            <w:pPr>
              <w:spacing w:after="0"/>
            </w:pPr>
            <w:r>
              <w:rPr>
                <w:color w:val="000000"/>
                <w:sz w:val="15"/>
              </w:rPr>
              <w:t>Remove the invalid deleted_at update or add a deliberate soft-delete model, then cover all transition paths.</w:t>
            </w:r>
          </w:p>
        </w:tc>
        <w:tc>
          <w:tcPr>
            <w:tcW w:w="1325" w:type="dxa"/>
            <w:shd w:val="clear" w:color="auto" w:fill="FBF1D7"/>
            <w:tcMar>
              <w:top w:w="70" w:type="dxa"/>
              <w:left w:w="90" w:type="dxa"/>
              <w:bottom w:w="70" w:type="dxa"/>
              <w:right w:w="90" w:type="dxa"/>
            </w:tcMar>
            <w:vAlign w:val="center"/>
          </w:tcPr>
          <w:p w14:paraId="35DA5732" w14:textId="77777777" w:rsidR="00472341" w:rsidRDefault="00000000">
            <w:pPr>
              <w:spacing w:after="0"/>
              <w:jc w:val="center"/>
            </w:pPr>
            <w:r>
              <w:rPr>
                <w:color w:val="000000"/>
                <w:sz w:val="15"/>
              </w:rPr>
              <w:t>M1</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77261CFA" w14:textId="77777777">
        <w:trPr>
          <w:cantSplit/>
          <w:jc w:val="center"/>
        </w:trPr>
        <w:tc>
          <w:tcPr>
            <w:tcW w:w="605" w:type="dxa"/>
            <w:shd w:val="clear" w:color="auto" w:fill="FBF1D7"/>
            <w:tcMar>
              <w:top w:w="70" w:type="dxa"/>
              <w:left w:w="90" w:type="dxa"/>
              <w:bottom w:w="70" w:type="dxa"/>
              <w:right w:w="90" w:type="dxa"/>
            </w:tcMar>
            <w:vAlign w:val="center"/>
          </w:tcPr>
          <w:p w14:paraId="1A43E3DF"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89B243" w14:textId="77777777" w:rsidR="00472341" w:rsidRDefault="00000000">
            <w:pPr>
              <w:spacing w:after="0"/>
            </w:pPr>
            <w:r>
              <w:rPr>
                <w:b/>
                <w:color w:val="2E5495"/>
                <w:sz w:val="15"/>
              </w:rPr>
              <w:t>Procurement approval fail-closed behavior</w:t>
            </w:r>
          </w:p>
        </w:tc>
        <w:tc>
          <w:tcPr>
            <w:tcW w:w="6091" w:type="dxa"/>
            <w:shd w:val="clear" w:color="auto" w:fill="FBF1D7"/>
            <w:tcMar>
              <w:top w:w="70" w:type="dxa"/>
              <w:left w:w="90" w:type="dxa"/>
              <w:bottom w:w="70" w:type="dxa"/>
              <w:right w:w="90" w:type="dxa"/>
            </w:tcMar>
            <w:vAlign w:val="center"/>
          </w:tcPr>
          <w:p w14:paraId="72887C6B" w14:textId="77777777" w:rsidR="00472341" w:rsidRDefault="00000000">
            <w:pPr>
              <w:spacing w:after="0"/>
            </w:pPr>
            <w:r>
              <w:rPr>
                <w:color w:val="000000"/>
                <w:sz w:val="15"/>
              </w:rPr>
              <w:t>Do not silently skip controlled-spend approval when no approver resolves; this remains open. Tenant-specific approvers are now supported through role keys and per-tenant overrides, and the role-coverage command reports tenants that cannot staff a central step. Branch-aware templates remain open.</w:t>
            </w:r>
          </w:p>
        </w:tc>
        <w:tc>
          <w:tcPr>
            <w:tcW w:w="1325" w:type="dxa"/>
            <w:shd w:val="clear" w:color="auto" w:fill="FBF1D7"/>
            <w:tcMar>
              <w:top w:w="70" w:type="dxa"/>
              <w:left w:w="90" w:type="dxa"/>
              <w:bottom w:w="70" w:type="dxa"/>
              <w:right w:w="90" w:type="dxa"/>
            </w:tcMar>
            <w:vAlign w:val="center"/>
          </w:tcPr>
          <w:p w14:paraId="791A0B08" w14:textId="77777777" w:rsidR="00472341" w:rsidRDefault="00000000">
            <w:pPr>
              <w:spacing w:after="0"/>
              <w:jc w:val="center"/>
            </w:pPr>
            <w:r>
              <w:rPr>
                <w:color w:val="000000"/>
                <w:sz w:val="15"/>
              </w:rPr>
              <w:t>M7, M22, M23</w:t>
            </w:r>
          </w:p>
        </w:tc>
      </w:tr>
      <w:tr w:rsidR="00472341" w14:paraId="2CD45CE2" w14:textId="77777777">
        <w:trPr>
          <w:cantSplit/>
          <w:jc w:val="center"/>
        </w:trPr>
        <w:tc>
          <w:tcPr>
            <w:tcW w:w="605" w:type="dxa"/>
            <w:shd w:val="clear" w:color="auto" w:fill="FFFFFF"/>
            <w:tcMar>
              <w:top w:w="70" w:type="dxa"/>
              <w:left w:w="90" w:type="dxa"/>
              <w:bottom w:w="70" w:type="dxa"/>
              <w:right w:w="90" w:type="dxa"/>
            </w:tcMar>
            <w:vAlign w:val="center"/>
          </w:tcPr>
          <w:p w14:paraId="0C329264"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0B26CBA4" w14:textId="77777777" w:rsidR="00472341" w:rsidRDefault="00000000">
            <w:pPr>
              <w:spacing w:after="0"/>
            </w:pPr>
            <w:r>
              <w:rPr>
                <w:b/>
                <w:color w:val="2E5495"/>
                <w:sz w:val="15"/>
              </w:rPr>
              <w:t>Failed webhook operations</w:t>
            </w:r>
          </w:p>
        </w:tc>
        <w:tc>
          <w:tcPr>
            <w:tcW w:w="6091" w:type="dxa"/>
            <w:shd w:val="clear" w:color="auto" w:fill="FFFFFF"/>
            <w:tcMar>
              <w:top w:w="70" w:type="dxa"/>
              <w:left w:w="90" w:type="dxa"/>
              <w:bottom w:w="70" w:type="dxa"/>
              <w:right w:w="90" w:type="dxa"/>
            </w:tcMar>
            <w:vAlign w:val="center"/>
          </w:tcPr>
          <w:p w14:paraId="6A5F06BA" w14:textId="77777777" w:rsidR="00472341" w:rsidRDefault="00000000">
            <w:pPr>
              <w:spacing w:after="0"/>
            </w:pPr>
            <w:r>
              <w:rPr>
                <w:color w:val="000000"/>
                <w:sz w:val="15"/>
              </w:rPr>
              <w:t>Provide failed-event queue, replay, alerting, and operator audit for payment webhooks.</w:t>
            </w:r>
          </w:p>
        </w:tc>
        <w:tc>
          <w:tcPr>
            <w:tcW w:w="1325" w:type="dxa"/>
            <w:shd w:val="clear" w:color="auto" w:fill="FFFFFF"/>
            <w:tcMar>
              <w:top w:w="70" w:type="dxa"/>
              <w:left w:w="90" w:type="dxa"/>
              <w:bottom w:w="70" w:type="dxa"/>
              <w:right w:w="90" w:type="dxa"/>
            </w:tcMar>
            <w:vAlign w:val="center"/>
          </w:tcPr>
          <w:p w14:paraId="5A91F798" w14:textId="77777777" w:rsidR="00472341" w:rsidRDefault="00000000">
            <w:pPr>
              <w:spacing w:after="0"/>
              <w:jc w:val="center"/>
            </w:pPr>
            <w:r>
              <w:rPr>
                <w:color w:val="000000"/>
                <w:sz w:val="15"/>
              </w:rPr>
              <w:t>M18, M30</w:t>
            </w:r>
          </w:p>
        </w:tc>
      </w:tr>
      <w:tr w:rsidR="00472341" w14:paraId="4F2712DD" w14:textId="77777777">
        <w:trPr>
          <w:cantSplit/>
          <w:jc w:val="center"/>
        </w:trPr>
        <w:tc>
          <w:tcPr>
            <w:tcW w:w="605" w:type="dxa"/>
            <w:shd w:val="clear" w:color="auto" w:fill="F2F5FA"/>
            <w:tcMar>
              <w:top w:w="70" w:type="dxa"/>
              <w:left w:w="90" w:type="dxa"/>
              <w:bottom w:w="70" w:type="dxa"/>
              <w:right w:w="90" w:type="dxa"/>
            </w:tcMar>
            <w:vAlign w:val="center"/>
          </w:tcPr>
          <w:p w14:paraId="69FC1BB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07BF7474" w14:textId="77777777" w:rsidR="00472341" w:rsidRDefault="00000000">
            <w:pPr>
              <w:spacing w:after="0"/>
            </w:pPr>
            <w:r>
              <w:rPr>
                <w:b/>
                <w:color w:val="2E5495"/>
                <w:sz w:val="15"/>
              </w:rPr>
              <w:t>Historical finance correctness</w:t>
            </w:r>
          </w:p>
        </w:tc>
        <w:tc>
          <w:tcPr>
            <w:tcW w:w="6091" w:type="dxa"/>
            <w:shd w:val="clear" w:color="auto" w:fill="F2F5FA"/>
            <w:tcMar>
              <w:top w:w="70" w:type="dxa"/>
              <w:left w:w="90" w:type="dxa"/>
              <w:bottom w:w="70" w:type="dxa"/>
              <w:right w:w="90" w:type="dxa"/>
            </w:tcMar>
            <w:vAlign w:val="center"/>
          </w:tcPr>
          <w:p w14:paraId="56E3321F" w14:textId="77777777" w:rsidR="00472341" w:rsidRDefault="00000000">
            <w:pPr>
              <w:spacing w:after="0"/>
            </w:pPr>
            <w:r>
              <w:rPr>
                <w:color w:val="000000"/>
                <w:sz w:val="15"/>
              </w:rPr>
              <w:t>Make as-of receivables reports reconstruct balances at the requested date.</w:t>
            </w:r>
          </w:p>
        </w:tc>
        <w:tc>
          <w:tcPr>
            <w:tcW w:w="1325" w:type="dxa"/>
            <w:shd w:val="clear" w:color="auto" w:fill="F2F5FA"/>
            <w:tcMar>
              <w:top w:w="70" w:type="dxa"/>
              <w:left w:w="90" w:type="dxa"/>
              <w:bottom w:w="70" w:type="dxa"/>
              <w:right w:w="90" w:type="dxa"/>
            </w:tcMar>
            <w:vAlign w:val="center"/>
          </w:tcPr>
          <w:p w14:paraId="6506C100" w14:textId="77777777" w:rsidR="00472341" w:rsidRDefault="00000000">
            <w:pPr>
              <w:spacing w:after="0"/>
              <w:jc w:val="center"/>
            </w:pPr>
            <w:r>
              <w:rPr>
                <w:color w:val="000000"/>
                <w:sz w:val="15"/>
              </w:rPr>
              <w:t>M17, M19</w:t>
            </w:r>
          </w:p>
        </w:tc>
      </w:tr>
      <w:tr w:rsidR="00472341" w14:paraId="643C1D0E" w14:textId="77777777">
        <w:trPr>
          <w:cantSplit/>
          <w:jc w:val="center"/>
        </w:trPr>
        <w:tc>
          <w:tcPr>
            <w:tcW w:w="605" w:type="dxa"/>
            <w:shd w:val="clear" w:color="auto" w:fill="FFFFFF"/>
            <w:tcMar>
              <w:top w:w="70" w:type="dxa"/>
              <w:left w:w="90" w:type="dxa"/>
              <w:bottom w:w="70" w:type="dxa"/>
              <w:right w:w="90" w:type="dxa"/>
            </w:tcMar>
            <w:vAlign w:val="center"/>
          </w:tcPr>
          <w:p w14:paraId="290B7769"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37F0C9CB" w14:textId="77777777" w:rsidR="00472341" w:rsidRDefault="00000000">
            <w:pPr>
              <w:spacing w:after="0"/>
            </w:pPr>
            <w:r>
              <w:rPr>
                <w:b/>
                <w:color w:val="2E5495"/>
                <w:sz w:val="15"/>
              </w:rPr>
              <w:t>Vendor prepayments</w:t>
            </w:r>
          </w:p>
        </w:tc>
        <w:tc>
          <w:tcPr>
            <w:tcW w:w="6091" w:type="dxa"/>
            <w:shd w:val="clear" w:color="auto" w:fill="FFFFFF"/>
            <w:tcMar>
              <w:top w:w="70" w:type="dxa"/>
              <w:left w:w="90" w:type="dxa"/>
              <w:bottom w:w="70" w:type="dxa"/>
              <w:right w:w="90" w:type="dxa"/>
            </w:tcMar>
            <w:vAlign w:val="center"/>
          </w:tcPr>
          <w:p w14:paraId="2B7A31A3" w14:textId="77777777" w:rsidR="00472341" w:rsidRDefault="00000000">
            <w:pPr>
              <w:spacing w:after="0"/>
            </w:pPr>
            <w:r>
              <w:rPr>
                <w:color w:val="000000"/>
                <w:sz w:val="15"/>
              </w:rPr>
              <w:t>Complete advance-payment posting and clearing across vendor, AP, payment, and ledger records.</w:t>
            </w:r>
          </w:p>
        </w:tc>
        <w:tc>
          <w:tcPr>
            <w:tcW w:w="1325" w:type="dxa"/>
            <w:shd w:val="clear" w:color="auto" w:fill="FFFFFF"/>
            <w:tcMar>
              <w:top w:w="70" w:type="dxa"/>
              <w:left w:w="90" w:type="dxa"/>
              <w:bottom w:w="70" w:type="dxa"/>
              <w:right w:w="90" w:type="dxa"/>
            </w:tcMar>
            <w:vAlign w:val="center"/>
          </w:tcPr>
          <w:p w14:paraId="09CEF93C" w14:textId="77777777" w:rsidR="00472341" w:rsidRDefault="00000000">
            <w:pPr>
              <w:spacing w:after="0"/>
              <w:jc w:val="center"/>
            </w:pPr>
            <w:r>
              <w:rPr>
                <w:color w:val="000000"/>
                <w:sz w:val="15"/>
              </w:rPr>
              <w:t>M18, M19, M21, M23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FFFFF"/>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FFFFF"/>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FFFFF"/>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2F5FA"/>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2F5FA"/>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2F5FA"/>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v2.6.0 Change Delta</w:t>
      </w:r>
    </w:p>
    <w:p w14:paraId="4C4A5E5A" w14:textId="77777777" w:rsidR="00472341" w:rsidRDefault="00000000">
      <w:pPr>
        <w:spacing w:after="100" w:line="240" w:lineRule="auto" w:before="0"/>
      </w:pPr>
      <w:r>
        <w:rPr>
          <w:rFonts w:ascii="Aptos Narrow" w:hAnsi="Aptos Narrow"/>
          <w:b w:val="0"/>
          <w:color w:val="000000"/>
          <w:sz w:val="18"/>
        </w:rPr>
        <w:t>This revision records completed backend work in Module 7 and its effect on Module 22. Capability entries increase from 384 to 390. Module and integration statuses are unchanged; the procurement fail-closed priority gap is narrowed but stays open.</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671"/>
        <w:gridCol w:w="1728"/>
        <w:gridCol w:w="5068"/>
      </w:tblGrid>
      <w:tr w:rsidR="00472341" w14:paraId="1C466A26" w14:textId="77777777">
        <w:trPr>
          <w:tblHeader/>
          <w:jc w:val="center"/>
          <w:tblHeader w:val="true"/>
        </w:trPr>
        <w:tc>
          <w:tcPr>
            <w:tcW w:w="367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5C12739E" w14:textId="77777777" w:rsidR="00472341" w:rsidRDefault="00000000">
            <w:pPr>
              <w:spacing w:after="0" w:before="0" w:line="240" w:lineRule="auto"/>
              <w:jc w:val="left"/>
            </w:pPr>
            <w:r>
              <w:rPr>
                <w:rFonts w:ascii="Aptos Narrow" w:hAnsi="Aptos Narrow"/>
                <w:b/>
                <w:color w:val="FFFFFF"/>
                <w:sz w:val="17"/>
              </w:rPr>
              <w:t>v2.6.0 change delta</w:t>
            </w:r>
          </w:p>
        </w:tc>
        <w:tc>
          <w:tcPr>
            <w:tcW w:w="172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4AEA54D5" w14:textId="77777777" w:rsidR="00472341" w:rsidRDefault="00000000">
            <w:pPr>
              <w:spacing w:after="0" w:before="0" w:line="240" w:lineRule="auto"/>
              <w:jc w:val="left"/>
            </w:pPr>
            <w:r>
              <w:rPr>
                <w:rFonts w:ascii="Aptos Narrow" w:hAnsi="Aptos Narrow"/>
                <w:b/>
                <w:color w:val="FFFFFF"/>
                <w:sz w:val="17"/>
              </w:rPr>
              <w:t>Decision</w:t>
            </w:r>
          </w:p>
        </w:tc>
        <w:tc>
          <w:tcPr>
            <w:tcW w:w="5069"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1AC54074" w14:textId="77777777" w:rsidR="00472341" w:rsidRDefault="00000000">
            <w:pPr>
              <w:spacing w:after="0" w:before="0" w:line="240" w:lineRule="auto"/>
              <w:jc w:val="left"/>
            </w:pPr>
            <w:r>
              <w:rPr>
                <w:rFonts w:ascii="Aptos Narrow" w:hAnsi="Aptos Narrow"/>
                <w:b/>
                <w:color w:val="FFFFFF"/>
                <w:sz w:val="17"/>
              </w:rPr>
              <w:t>Evidence</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Approver resolution model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Permission-key approvers are removed from the engine. A step now names a role, an approver group, a document-driven rule, or an organogram seat.</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Central template portability</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step names a role by key and resolves it inside the requesting tenant, so one central template serves every tenant.</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approver control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can repoint an individual step to its own role or approver group without cloning the shared template.</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Workflow tenant scoping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Action reversal and the team-load board were not tenant-scoped. Both are fixed, with cross-tenant regression tests.</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Template validation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Route, inclusion, and dynamic-rule conditions are validated at publish instead of failing during an approval.</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7 capability count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Increased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7 moves from 15 to 21 entries; the platform total moves from 384 to 390.</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tcMar>
            <w:vAlign w:val="center"/>
          </w:tcPr>
          <w:p w14:paraId="75F555DE" w14:textId="77777777" w:rsidR="00472341" w:rsidRDefault="00000000">
            <w:pPr>
              <w:spacing w:after="0"/>
            </w:pPr>
            <w:r>
              <w:rPr>
                <w:color w:val="000000"/>
                <w:sz w:val="17"/>
              </w:rPr>
              <w:t>Fix branch transitions, add safe school lifecycle controls, require privileged MFA, and make procurement approval fail closed.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Add failed-webhook operations, correct historical receivables, finish vendor prepayments, and validate payout approvals.</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seed tenant-specific workflow templates and defaults.</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Replaced permission-key approvers with role, approver-group, and document-driven resolution; made central templates resolve role keys per tenant and added per-tenant approver overrides; fixed workflow tenant scoping for action reversal and team load; added publish-time condition validation and role-coverage reporting. Module 7 rises to 21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v2.5.1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2.6.0</cp:version>
</cp:coreProperties>
</file>