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main at 8a48403 plus the workflow auto-skip default change (25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450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auto-skip default, the removed submit route, and the retired permission key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v2.31 Documentation Delta</w:t>
      </w:r>
    </w:p>
    <w:p w14:paraId="4C4A5E5A" w14:textId="77777777" w:rsidR="00472341" w:rsidRDefault="00000000">
      <w:pPr>
        <w:spacing w:after="100" w:line="240" w:lineRule="auto" w:before="0"/>
      </w:pPr>
      <w:r>
        <w:t>This revision closes the approval engine's last unsafe default and removes a submission route that never checked whose document it was given. Both are Module 7. The engine is otherwise unchanged: same capabilities, same Complete status, no new dependency and no change to who may approve what.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v2.31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unstaffed stage auto-skipped by default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Inverted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skip_if_no_approvers defaulted to True on the model and the publish service, so a ladder republished without the field could pass spend through unapproved. Both now default to False. Existing stages are untouched. Migration vs_workflow.0010.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 tenant's document could be submitted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removed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generic submit endpoint loaded a document by content type and primary key with no tenant filter, and the instance was filed under the document's tenant. Removed; submission runs through each module's own scoped endpoint and the shared service refuses another tenant's document.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permission key that gated nothing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workflow.instance.submit existed only for that route. Its grants and per-user overrides are cleared and the key dropped, kept deactivated where an approval record still references it. Migration vs_workflow.0009.</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