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1.14</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1.14</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statements as one filing pack, for a whole-school reader 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D83-D102 contracts below. Historical WHT, gross settlement and unbranched tax gaps are superseded by the current correction, clearing and branch rules.</w:t>
      </w:r>
    </w:p>
    <w:p>
      <w:pPr>
        <w:pStyle w:val="Heading2"/>
      </w:pPr>
      <w:r>
        <w:t>D83-D102 Current Contracts</w:t>
      </w:r>
    </w:p>
    <w:p>
      <w:pPr/>
      <w:r>
        <w:t>These contracts state current behavior at the committed evidence boundary and replace an earlier sentence wherever the two disagree.</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v2.99.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bl>
    <w:p w:rsidR="00A62A3E" w:rsidRDefault="00000000">
      <w:pPr>
        <w:keepLines/>
        <w:spacing w:after="120"/>
      </w:pPr>
      <w:r>
        <w:t>All 26 entries are traced above. Module number, name, phase, backend and in-use states and code ownership agree with MRD v2.99,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