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1.8</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1.8</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a21bab36, 1 October 2026. This revision reconciles the committed requirements queue D83 to D102.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v2.99</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each contact, tax and bank field read and written only by a role whose switch allows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milestone is completed on and an assessment is recorded on when neither names one, when a contract has lapsed, both where its list and detail flag it expired and in the expiry and missed-milestone runs, which contracts the renewals list and the contract summary count as ending, and where the vendor summary and insights start the year to date.</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where allowed change, a vendor's contact, tax and bank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4's per-role Field Access switches: Read to see a field, Write to change it. Each field is declared sensitive, so a role reaches it only when its switch is on.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Email, phone, address, contact people, tax ID, bank name, bank code, account number and account name are the vendor's registered fields, each with a Read and a Write switch per role (Module 4). A role that cannot read one gets the vendor without it; one that can read but not change it finds it named in _read_only_fields; a submitted field it cannot write is refused 403 field_write_denied, naming every such field, and nothing is saved.</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Contact, tax and bank fields are governed per role by Module 4's Field Access switches: the vendor detail omits one the caller cannot read and names in _read_only_fields one they can read but not change, and the create and update routes refuse, before anything is written, a submitted field the caller cannot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role whose switches are off neither sees nor can change bank detail, and the contact people nested under a vendor are held to their own switch rather than escaping below it (VendorDeepPayloadTests).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 A milestone completed without a date is completed on the school's day, and a contract past its end date reads expired from the school's next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renewals endpoint surfaces the contracts a buyer should chase, and expiry is a modelled transition rather than an absence of one. The list, the contract summary and the expiry run measure from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 An assessment recorded without a date is dated on the school's day. The model field keeps the server's date as its default, because a model default cannot see a school, and the one route that creates an assessment always passes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Contact, tax and bank fields governed per role; bank changes reset KYC. A null branch means shared across the tenant, and the API sets no other value yet.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contact, tax or bank field the caller's role cannot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403 field_write_denied, naming each such field; nothing is saved. A field the role cannot read is absent from the response rather than 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Invites these vendors to quote and defaults requisition lines from this catalogue. Its Spend &amp; suppliers tab scores the largest vendors and counts the vendor base (its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 Access switches that decide per role who reads and writes the vendor's nine contact, tax and bank fields, and the branch narrowing, which vendors apply inclusively (FR-011).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2.2).</w:t>
            </w:r>
          </w:p>
        </w:tc>
      </w:tr>
    </w:tbl>
    <w:p>
      <w:pPr>
        <w:pStyle w:val="Heading2"/>
      </w:pPr>
      <w:r>
        <w:t>Current Functional Contracts</w:t>
      </w:r>
    </w:p>
    <w:p>
      <w:pPr/>
      <w:r>
        <w:t>These contracts state the current behavior at the code baseline and govern where an earlier sentence in this document describes an older rule.</w:t>
      </w:r>
    </w:p>
    <w:p>
      <w:r>
        <w:t>Vendor year-to-date spend, category cards, insights and open-order counts are narrowed to the reader's branches.</w:t>
      </w:r>
    </w:p>
    <w:p>
      <w:r>
        <w:t>Vendor categories are shared configuration. A branch-bound caller may read them but receives 403 SHARED_RECORD_READ_ONLY on create, edit or delete, with nothing written.</w:t>
      </w:r>
    </w:p>
    <w:p>
      <w:pPr>
        <w:pStyle w:val="Heading2"/>
      </w:pPr>
      <w:r>
        <w:t>D83-D102 Current Contracts</w:t>
      </w:r>
    </w:p>
    <w:p>
      <w:pPr/>
      <w:r>
        <w:t>These contracts state current behavior at the committed evidence boundary and replace an earlier sentence wherever the two disagree.</w:t>
      </w:r>
    </w:p>
    <w:p>
      <w:r>
        <w:t>Vendor assessments always carry an assessment date, defaulted from the tenant's day rather than the server. Contracts, deadlines and performance dates render through the tenant display contract.</w:t>
      </w:r>
    </w:p>
    <w:p>
      <w:r>
        <w:t>Vendor spend, performance, AP aging and procurement reports include approved credit notes and goods returns, so corrected purchases no longer remain in supplier totals.</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v2.93. Each maps to the requirements below. Reading a null branch as shared strengthens the vendor profile entry without changing the count. Governing the vendor's contact, tax and bank fields by role switches strengthens the contacts and verified bank details entry without changing the count. Dating contracts, milestones and assessments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vendor's nine contact, tax and bank fields are decided per role by Module 4's Field Access switches rather than by the retired procurement.vendor.view_sensitive key. A role that cannot read one gets the vendor without it, one that can read but not change it finds it named in _read_only_fields, and a submitted field it cannot write is refused 403 field_write_denied with nothing saved. The conversion set each role's switches from the key it held, so nobody's access changed. The scope, the payments-facing reader, the field protection box, FR-002, the Vendor record, the typed errors, the Module 4 and Module 22 dependencies and traceability to MRD v2.93 follow. Every date that means today is the school's own day, a school's day being its own time zone's, Africa/Lagos by default (new Section 2.2): a milestone's completion date, an assessment's default date, a contract's lapse, the renewals list and the contract summary, and the vendor year to date, with a Module 1 dependency (FR-006 to FR-008). Module 21 stays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Adds procurement.vendor.verify as the restricted authority for KYC, risk and hold changes. Ordinary vendor edits remain on procurement.vendor.update, and bank-field changes still reset KYC.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v1.8</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1.8</cp:version>
</cp:coreProperties>
</file>