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1.6</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M26 | Reporting &amp; 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a21bab36, 1 October 2026. This revision reconciles the committed requirements queue D83 to D102.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Default export date windows end on the school's day. The statutory pack accepts fiscal_year, limits its profit and loss to that year and excludes the closing period; balance-sheet and trial-balance views keep the closing period where applicable.</w:t>
      </w:r>
    </w:p>
    <w:p>
      <w:pPr>
        <w:pStyle w:val="Heading2"/>
      </w:pPr>
      <w:r>
        <w:t>D83-D102 Current Contracts</w:t>
      </w:r>
    </w:p>
    <w:p>
      <w:pPr/>
      <w:r>
        <w:t>These contracts state current behavior at the committed evidence boundary and replace an earlier sentence wherever the two disagree.</w:t>
      </w:r>
    </w:p>
    <w:p>
      <w:r>
        <w:t>People-mode exports render dates and date-times in the school's format and relevant branch zone, and support a time kind for bell and exam times. System-mode columns, identifiers and audit metadata remain ISO. File-name date tokens use the school's day.</w:t>
      </w:r>
    </w:p>
    <w:p>
      <w:r>
        <w:t>Transaction datasets use exclusive branch reach; shared customer and vendor datasets use inclusive reach. Audit exports use the event branch, and export previews remain distinct from downloads in the audit record.</w:t>
      </w:r>
    </w:p>
    <w:p>
      <w:r>
        <w:t>Stored export files retain the format used when generated. A later display-setting change affects the next render and does not rewrite prior evidence.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v2.93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 Oct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creator>CodeX Team</dc:creator>
</cp:coreProperties>
</file>