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30: System Health &amp; Monitoring</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1.5</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M30 | System Health &amp; Monitoring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1.5</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 October 2026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a21bab36, 1 October 2026. This revision reconciles the committed requirements queue D83 to D102. Uncommitted worktree changes are outside the evidence boundary</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v2.99</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vs_health</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vs_user, vs_notifications, vs_config; configuration faults reported by schools.core.fal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data migration, worker availability, or external-provider delivery.</w:t>
            </w:r>
          </w:p>
          <w:p>
            <w:pPr>
              <w:spacing w:before="0" w:after="40" w:line="240" w:lineRule="auto"/>
              <w:numPr>
                <w:ilvl w:val="0"/>
                <w:numId w:val="1"/>
              </w:numPr>
            </w:pPr>
            <w:r>
              <w:rPr>
                <w:rFonts w:ascii="Aptos Narrow" w:hAnsi="Aptos Narrow"/>
                <w:b w:val="0"/>
                <w:color w:val="000000"/>
                <w:sz w:val="17"/>
              </w:rPr>
              <w:t>Telemetry screens are evidence-based. Configuration seeding creates services, checks, rules, permissions, and SLOs but never fabricates measurements.</w:t>
            </w:r>
          </w:p>
          <w:p>
            <w:pPr>
              <w:spacing w:before="0" w:after="40" w:line="240" w:lineRule="auto"/>
              <w:numPr>
                <w:ilvl w:val="0"/>
                <w:numId w:val="1"/>
              </w:numPr>
            </w:pPr>
            <w:r>
              <w:rPr>
                <w:rFonts w:ascii="Aptos Narrow" w:hAnsi="Aptos Narrow"/>
                <w:b w:val="0"/>
                <w:color w:val="000000"/>
                <w:sz w:val="17"/>
              </w:rPr>
              <w:t>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Monitoring ownership, included signals, and boundaries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Telemetry flow, platform scope, and state vocabulary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manage, evaluate, and receive alarms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Collection, probing, alerting, delivery, and recovery</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telemetry, configuration, incidents, and objectives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filters, ranges,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broker, database, RBAC, notification, and probes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backend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Module 30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30 is the platform's operational evidence and incident-response engine. It observes resolved HTTP routes, scheduled dependency probes, Celery queues and tracked jobs; calculates health and reliability views; evaluates alert rules; opens incidents; and tells authorized operators through email and the in-app feed. It is domain-neutral and uses tenant only as an optional analytics dimension.</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Service registry, current status, synthetic checks, SSL evidence, daily uptime rollups, SLO attainment, and error budgets.</w:t>
      </w:r>
    </w:p>
    <w:p>
      <w:pPr>
        <w:numPr>
          <w:ilvl w:val="0"/>
          <w:numId w:val="1"/>
        </w:numPr>
        <w:spacing w:before="0" w:after="40" w:line="240" w:lineRule="auto"/>
      </w:pPr>
      <w:r>
        <w:rPr>
          <w:rFonts w:ascii="Aptos Narrow" w:hAnsi="Aptos Narrow"/>
          <w:b w:val="0"/>
          <w:color w:val="000000"/>
          <w:sz w:val="18"/>
        </w:rPr>
        <w:t>Request traffic, response families, throttling, latency histograms, endpoint drill-downs, and tenant-attributed analytics.</w:t>
      </w:r>
    </w:p>
    <w:p>
      <w:pPr>
        <w:numPr>
          <w:ilvl w:val="0"/>
          <w:numId w:val="1"/>
        </w:numPr>
        <w:spacing w:before="0" w:after="40" w:line="240" w:lineRule="auto"/>
      </w:pPr>
      <w:r>
        <w:rPr>
          <w:rFonts w:ascii="Aptos Narrow" w:hAnsi="Aptos Narrow"/>
          <w:b w:val="0"/>
          <w:color w:val="000000"/>
          <w:sz w:val="18"/>
        </w:rPr>
        <w:t>Queue snapshots, worker capacity, tracked background jobs, incidents, timelines, deployments, reliability, alert rules, active alerts, and recovery.</w:t>
      </w:r>
    </w:p>
    <w:p>
      <w:pPr>
        <w:numPr>
          <w:ilvl w:val="0"/>
          <w:numId w:val="1"/>
        </w:numPr>
        <w:spacing w:before="0" w:after="40" w:line="240" w:lineRule="auto"/>
      </w:pPr>
      <w:r>
        <w:rPr>
          <w:rFonts w:ascii="Aptos Narrow" w:hAnsi="Aptos Narrow"/>
          <w:b w:val="0"/>
          <w:color w:val="000000"/>
          <w:sz w:val="18"/>
        </w:rPr>
        <w:t>Sustained and service-scoped breach evaluation, one-firing-alert concurrency, UUID-backed incident references, and transactional email plus in-app alarm delivery.</w:t>
      </w:r>
    </w:p>
    <w:p>
      <w:pPr>
        <w:numPr>
          <w:ilvl w:val="0"/>
          <w:numId w:val="1"/>
        </w:numPr>
        <w:spacing w:before="0" w:after="40" w:line="240" w:lineRule="auto"/>
      </w:pPr>
      <w:r>
        <w:rPr>
          <w:rFonts w:ascii="Aptos Narrow" w:hAnsi="Aptos Narrow"/>
          <w:b w:val="0"/>
          <w:color w:val="000000"/>
          <w:sz w:val="18"/>
        </w:rPr>
        <w:t>Configuration-fault incidents that another module reports when a data arrangement is wrong: one unresolved incident per fault, with no alert rule, metric or threshold behind it.</w:t>
      </w:r>
    </w:p>
    <w:p>
      <w:pPr>
        <w:numPr>
          <w:ilvl w:val="0"/>
          <w:numId w:val="1"/>
        </w:numPr>
        <w:spacing w:before="0" w:after="40" w:line="240" w:lineRule="auto"/>
      </w:pPr>
      <w:r>
        <w:rPr>
          <w:rFonts w:ascii="Aptos Narrow" w:hAnsi="Aptos Narrow"/>
          <w:b w:val="0"/>
          <w:color w:val="000000"/>
          <w:sz w:val="18"/>
        </w:rPr>
        <w:t>Platform RBAC, bounded ranges, explicit tenant filters, live-data evidence boundaries, retention, and scheduled task ownership.</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cantSplit/>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Not owned here</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User authentication and permission vocabulary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and Module 4. Health consumes active-user and RBAC decisions.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transport and in-app inbox</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Health raises one transactional event and stores only correlation metadata.</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business outcomes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domain module that owns each job. Health reads common tracking state and queue evidence.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Payment webhook authenticity or replay</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18. Health records bounded request timing for the resolved public route, not provider payloads or payment state.</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Frontend console implementation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consuming application. This FRD proves backend contracts only.</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uptime provider guarantees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configured network, SMTP, certificate, database, Redis, and HTTP targets.</w:t>
            </w:r>
          </w:p>
        </w:tc>
      </w:tr>
      <w:tr>
        <w:trPr>
          <w:cantSplit/>
        </w:trP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Deciding that a configuration is wrong</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whose rule it is. The school finance layer reports a school holding two sets of books; Health records the incident and never reads school data.</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The module has four evidence paths. Request middleware accumulates bounded route metrics and flushes them into minute rows. Celery beat executes probes, queue snapshots, alert evaluation, rollups, and retention. Platform operators read the aggregate API and manage configuration or incidents under method-aware RBAC. Telemetry rows are global operational data, with nullable tenant attribution used for slicing rather than ownership isolation. Other modules report configuration faults, which open incidents directly (FR-016).</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Health State Vocabulary</w:t>
      </w:r>
    </w:p>
    <w:tbl>
      <w:tblPr>
        <w:tblW w:type="dxa" w:w="10468"/>
        <w:jc w:val="center"/>
        <w:tblLayout w:type="fixed"/>
        <w:tblLook w:firstColumn="1" w:firstRow="1" w:lastColumn="0" w:lastRow="0" w:noHBand="0" w:noVBand="1" w:val="04A0"/>
      </w:tblPr>
      <w:tblGrid>
        <w:gridCol w:w="2232"/>
        <w:gridCol w:w="8236"/>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82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healthy</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inside the configured warning and critical bands.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warning</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is degraded or approaching a configured limit.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critical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Observed evidence crosses a critical threshold or a probe fails.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unknown</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honest conclusion is available, including an insufficient request sample.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operational</w:t>
            </w:r>
          </w:p>
        </w:tc>
        <w:tc>
          <w:tcPr>
            <w:tcW w:type="dxa" w:w="82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overview roll-up has no warning or critical active service.</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CURRENT MODULE DECISION</w:t>
              <w:br/>
              <w:t>The notification has no dedicated frontend incident page. Automatic clear therefore happens only when the incident detail API is read; the Health index acknowledges nothing.</w:t>
            </w:r>
          </w:p>
          <w:p>
            <w:pPr>
              <w:spacing w:before="0" w:after="40" w:line="240" w:lineRule="auto"/>
              <w:numPr>
                <w:ilvl w:val="0"/>
                <w:numId w:val="1"/>
              </w:numPr>
            </w:pPr>
            <w:r>
              <w:rPr>
                <w:rFonts w:ascii="Aptos Narrow" w:hAnsi="Aptos Narrow"/>
                <w:b w:val="0"/>
                <w:color w:val="000000"/>
                <w:sz w:val="17"/>
              </w:rPr>
              <w:t>Module 30 remains Backend Complete and In use Complete in MRD v2.93. This is evidence alignment, not a claim of deployment.</w:t>
            </w:r>
          </w:p>
          <w:p>
            <w:pPr>
              <w:spacing w:before="0" w:after="40" w:line="240" w:lineRule="auto"/>
              <w:numPr>
                <w:ilvl w:val="0"/>
                <w:numId w:val="1"/>
              </w:numPr>
            </w:pPr>
            <w:r>
              <w:rPr>
                <w:rFonts w:ascii="Aptos Narrow" w:hAnsi="Aptos Narrow"/>
                <w:b w:val="0"/>
                <w:color w:val="000000"/>
                <w:sz w:val="17"/>
              </w:rPr>
              <w:t>One current evidence defect remains: per-service uptime windows substitute 100 percent when no daily rollup exists. FR-006 requires unknown or absent instead.</w:t>
            </w:r>
          </w:p>
          <w:p>
            <w:pPr>
              <w:spacing w:before="0" w:after="40" w:line="240" w:lineRule="auto"/>
              <w:numPr>
                <w:ilvl w:val="0"/>
                <w:numId w:val="1"/>
              </w:numPr>
            </w:pPr>
            <w:r>
              <w:rPr>
                <w:rFonts w:ascii="Aptos Narrow" w:hAnsi="Aptos Narrow"/>
                <w:b w:val="0"/>
                <w:color w:val="000000"/>
                <w:sz w:val="17"/>
              </w:rPr>
              <w:t>Alert delivery is now operational through both email and in-app destinations after a sustained, service-scoped breach.</w:t>
            </w:r>
          </w:p>
          <w:p>
            <w:pPr>
              <w:spacing w:before="0" w:after="40" w:line="240" w:lineRule="auto"/>
              <w:numPr>
                <w:ilvl w:val="0"/>
                <w:numId w:val="1"/>
              </w:numPr>
            </w:pPr>
            <w:r>
              <w:rPr>
                <w:rFonts w:ascii="Aptos Narrow" w:hAnsi="Aptos Narrow"/>
                <w:b w:val="0"/>
                <w:color w:val="000000"/>
                <w:sz w:val="17"/>
              </w:rPr>
              <w:t>A configuration fault opens an incident with no alert or rule behind it. It reaches the console only, sends no notification, and stays open until an operator resolves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088"/>
        <w:gridCol w:w="4608"/>
        <w:gridCol w:w="3772"/>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46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77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Gate or contract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viewer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every Health analytics and detail surface.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platform.health.view.</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health manager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incidents, events, alert rules, and deployments.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authentication plus platform.health.create or platform.health.update, according to the method.</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middleware</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 resolved application requests and optional tenant attribution.</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Best-effort internal instrumentation;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probes, queue capture, alert evaluation, rollups, pruning, and email delivery.</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scheduler and configured broker/worker runtime.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Configuration-fault reporter</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one incident for a configuration fault its own module has found.</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Internal call to vs_health.faults.report_configuration_fault; no API identity.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alarm recipient</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in-app and email alarm records.</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user whose effective grants include platform.health.update, the authority that maintains incidents and alert rules.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dependency</w:t>
            </w:r>
          </w:p>
        </w:tc>
        <w:tc>
          <w:tcPr>
            <w:tcW w:type="dxa" w:w="46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an HTTP, TCP, Redis, PostgreSQL, or TLS probe.</w:t>
            </w:r>
          </w:p>
        </w:tc>
        <w:tc>
          <w:tcPr>
            <w:tcW w:type="dxa" w:w="377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Configured target and timeout; never trusted as application identity.</w:t>
            </w:r>
          </w:p>
        </w:tc>
      </w:tr>
    </w:tbl>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951"/>
        <w:gridCol w:w="2951"/>
        <w:gridCol w:w="4564"/>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GET and list operations</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Platform-wide operational data, optionally filtered by tenant analytics dimension</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 and selected monitored services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incident event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incident UUID</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or update alert rule</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rule registry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deployment annotation</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platform.health.create or platform.health.update, according to the method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deployment timeline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 a fired Health alarm</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 platform.health.update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platform-tenant recipients only</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configuration-fault incident</w:t>
            </w:r>
          </w:p>
        </w:tc>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an internal service call, not reachable from the API</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Global incident record</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Health configuration and telemetry are platform-owned. A tenant foreign key on RequestMetric is an analytics dimension, not a tenant-owned record boundary.</w:t>
      </w:r>
    </w:p>
    <w:p>
      <w:pPr>
        <w:numPr>
          <w:ilvl w:val="0"/>
          <w:numId w:val="1"/>
        </w:numPr>
        <w:spacing w:before="0" w:after="40" w:line="240" w:lineRule="auto"/>
      </w:pPr>
      <w:r>
        <w:rPr>
          <w:rFonts w:ascii="Aptos Narrow" w:hAnsi="Aptos Narrow"/>
          <w:b w:val="0"/>
          <w:color w:val="000000"/>
          <w:sz w:val="18"/>
        </w:rPr>
        <w:t>Notification rows belong to the recipient who reads them. The platform tenant is also the alarm's origin because Health incidents are platform operations.</w:t>
      </w:r>
    </w:p>
    <w:p>
      <w:pPr>
        <w:numPr>
          <w:ilvl w:val="0"/>
          <w:numId w:val="1"/>
        </w:numPr>
        <w:spacing w:before="0" w:after="40" w:line="240" w:lineRule="auto"/>
      </w:pPr>
      <w:r>
        <w:rPr>
          <w:rFonts w:ascii="Aptos Narrow" w:hAnsi="Aptos Narrow"/>
          <w:b w:val="0"/>
          <w:color w:val="000000"/>
          <w:sz w:val="18"/>
        </w:rPr>
        <w:t>Alert and incident correlation identifiers stay in internal notification metadata and are not exposed by the recipient feed serializer.</w:t>
      </w:r>
    </w:p>
    <w:p>
      <w:pPr>
        <w:numPr>
          <w:ilvl w:val="0"/>
          <w:numId w:val="1"/>
        </w:numPr>
        <w:spacing w:before="0" w:after="40" w:line="240" w:lineRule="auto"/>
      </w:pPr>
      <w:r>
        <w:rPr>
          <w:rFonts w:ascii="Aptos Narrow" w:hAnsi="Aptos Narrow"/>
          <w:b w:val="0"/>
          <w:color w:val="000000"/>
          <w:sz w:val="18"/>
        </w:rPr>
        <w:t>The module imports no school application and uses no school-domain model as an engine dependency. A configuration fault reaches Health through vs_health.faults, which takes neutral strings and a fault key, never a school.</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Keep One Explicit Registry of Monitored Services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must identify each monitored service, its operational group, tier, kind, active state, current status, and status-change time without embedding product-domain concepts in the monitoring engine.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MonitoredService stores stable keys and display metadata. seed_health creates the API, auth, route-group, Celery, datastore, SMTP, payment, and DNS/SSL entries and retires obsolete entries without inventing telemetry.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Re-seeding is idempotent, active services appear worst-first, and a service status change stamps status_changed_at only when the value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within the stated registry contract.</w:t>
            </w:r>
          </w:p>
        </w:tc>
      </w:tr>
    </w:tbl>
    <w:p>
      <w:pPr>
        <w:pStyle w:val="Heading2"/>
        <w:spacing w:before="220" w:after="120" w:line="240" w:lineRule="auto"/>
        <w:keepNext/>
        <w:pBdr>
          <w:bottom w:val="single" w:sz="8" w:space="5" w:color="355B9D"/>
        </w:pBdr>
      </w:pPr>
      <w:r>
        <w:rPr>
          <w:rFonts w:ascii="Aptos Narrow" w:hAnsi="Aptos Narrow"/>
          <w:b/>
          <w:color w:val="000000"/>
          <w:sz w:val="27"/>
        </w:rPr>
        <w:t>FR-002  Collect Bounded Request Metrics Without Risking the Request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resolved application request may contribute route, method, response family, throttling, latency, minute bucket, and optional tenant scope. The collector must never store raw paths or payloads and must never break the response it observes.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RequestMetricsMiddleware records the resolved route pattern after tenant context, excludes the Health API itself, and swallows instrumentation errors. The process-local collector merges fixed histograms into one locked RequestMetric row per bucket, route, method, and tenant. Public provider webhook routes are measured with a null tenant and no payload content.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Health routes create no metric; concurrent flushes add counts without loss; request latency remains bounded to fixed histogram buckets; a metrics failure leaves the original HTTP response unchanged.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buffer is deliberately best-effort. A worker process can lose its current in-memory bucket if it terminates before the next flush.</w:t>
            </w:r>
          </w:p>
        </w:tc>
      </w:tr>
    </w:tbl>
    <w:p>
      <w:pPr>
        <w:pStyle w:val="Heading2"/>
        <w:spacing w:before="220" w:after="120" w:line="240" w:lineRule="auto"/>
        <w:keepNext/>
        <w:pBdr>
          <w:bottom w:val="single" w:sz="8" w:space="5" w:color="355B9D"/>
        </w:pBdr>
      </w:pPr>
      <w:r>
        <w:rPr>
          <w:rFonts w:ascii="Aptos Narrow" w:hAnsi="Aptos Narrow"/>
          <w:b/>
          <w:color w:val="000000"/>
          <w:sz w:val="27"/>
        </w:rPr>
        <w:t>FR-003  Return Range-Bound Golden Signals and Endpoint Analytics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operators must be able to inspect traffic, p50/p95/p99 latency, 5xx error rate, throttling, status families, saturation, comparisons, and route drill-downs over a bounded time range.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services.py owns the fixed live, 15-minute, hourly, daily, weekly, and 30-day windows plus custom windows capped at 90 days. It merges persisted histograms and groups endpoint and chart rows without storing raw requests.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range produces one internally consistent set of cards, series, endpoint rows, top offenders, and previous-window deltas. Invalid custom bounds fall back to the supported range policy rather than scanning without a limit.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Latency percentiles are estimates from fixed buckets, not raw samples.</w:t>
            </w:r>
          </w:p>
        </w:tc>
      </w:tr>
    </w:tbl>
    <w:p>
      <w:pPr>
        <w:pStyle w:val="Heading2"/>
        <w:spacing w:before="220" w:after="120" w:line="240" w:lineRule="auto"/>
        <w:keepNext/>
        <w:pBdr>
          <w:bottom w:val="single" w:sz="8" w:space="5" w:color="355B9D"/>
        </w:pBdr>
      </w:pPr>
      <w:r>
        <w:rPr>
          <w:rFonts w:ascii="Aptos Narrow" w:hAnsi="Aptos Narrow"/>
          <w:b/>
          <w:color w:val="000000"/>
          <w:sz w:val="27"/>
        </w:rPr>
        <w:t>FR-004  Withhold Health Claims When the Sample Is Too Small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error rate or latency percentile must not declare a service healthy or unhealthy when too few requests support that statistical claim.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MIN_P95_SAMPLE is 30. window_status and alert evaluation share that floor, so low-volume cards and endpoint rows report unknown and error-rate or p95 rules skip evaluation. Raw numeric estimates remain available for inspection.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 29 requests the status is unknown and the rule does not fire; at 30 or more requests the normal threshold bands apply. A low-sample window can clear an existing alert because it no longer proves the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Thirty observations are a minimum floor, not a guarantee that a tail estimate is statistically stable.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Probe External and Internal Dependencies on Schedule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module must execute configured HTTP, TCP, Redis, PostgreSQL, and SSL checks, persist each outcome, and classify slow, failed, or expiring targets without letting one probe abort the batch.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executors normalize every result to status, response time, status code, error, and metadata. Celery beat runs active checks every five minutes; each result updates its service status and route-group services are refreshed from real request metrics.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probe exception becomes a stored critical result, SSL metadata carries the domain and days remaining, datastore saturation can influence status, and the task reports how many checks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Probe truth depends on network reachability and the configured targets.</w:t>
            </w:r>
          </w:p>
        </w:tc>
      </w:tr>
    </w:tbl>
    <w:p>
      <w:pPr>
        <w:pStyle w:val="Heading2"/>
        <w:spacing w:before="220" w:after="120" w:line="240" w:lineRule="auto"/>
        <w:keepNext/>
        <w:pBdr>
          <w:bottom w:val="single" w:sz="8" w:space="5" w:color="355B9D"/>
        </w:pBdr>
      </w:pPr>
      <w:r>
        <w:rPr>
          <w:rFonts w:ascii="Aptos Narrow" w:hAnsi="Aptos Narrow"/>
          <w:b/>
          <w:color w:val="000000"/>
          <w:sz w:val="27"/>
        </w:rPr>
        <w:t>FR-006  Roll Up Uptime and Calculate SLO Error Budgets Honestly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rollups must preserve service availability history, and active SLOs must show target, attained uptime, window, remaining error budget, and breach state without claiming evidence that does not exist.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hourly rollup task computes daily totals, failures, worst status, average response time, and uptime. Global uptime returns no value when no rollups exist. SLO status reads active objectives and their service rollups.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day with real checks calculates the observed percentage and worst status; an empty history is represented as unknown or absent across every uptime surface; error-budget use never falls below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per-service uptime monitor currently substitutes 100 percent when its selected window contains no daily rollups. That value is not evidence and must be changed to unknown or absent.</w:t>
            </w:r>
          </w:p>
        </w:tc>
      </w:tr>
    </w:tbl>
    <w:p>
      <w:pPr>
        <w:pStyle w:val="Heading2"/>
        <w:spacing w:before="220" w:after="120" w:line="240" w:lineRule="auto"/>
        <w:keepNext/>
        <w:pBdr>
          <w:bottom w:val="single" w:sz="8" w:space="5" w:color="355B9D"/>
        </w:pBdr>
      </w:pPr>
      <w:r>
        <w:rPr>
          <w:rFonts w:ascii="Aptos Narrow" w:hAnsi="Aptos Narrow"/>
          <w:b/>
          <w:color w:val="000000"/>
          <w:sz w:val="27"/>
        </w:rPr>
        <w:t>FR-007  Expose Queue Depth, Worker Capacity, and Tracked Jobs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see current queue depth and trend, task throughput, failed, retrying, and dead counts, worker capacity, retry storms, and the tracked job records behind operational work.</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minute schedule captures QueueSnapshot rows from the Redis broker and Celery inspect data. The queue service returns only queues with real snapshots. The task API reads core.BackgroundJob with status, queue, kind, and tenant filters.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Unknown queues return no fabricated card, queue filters map to the tracked job kinds, for_tenant narrows the task collection, and every list remains ordered newest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inspect can report no workers when the broker or control channel is unavailable.</w:t>
            </w:r>
          </w:p>
        </w:tc>
      </w:tr>
    </w:tbl>
    <w:p>
      <w:pPr>
        <w:pStyle w:val="Heading2"/>
        <w:spacing w:before="220" w:after="120" w:line="240" w:lineRule="auto"/>
        <w:keepNext/>
        <w:pBdr>
          <w:bottom w:val="single" w:sz="8" w:space="5" w:color="355B9D"/>
        </w:pBdr>
      </w:pPr>
      <w:r>
        <w:rPr>
          <w:rFonts w:ascii="Aptos Narrow" w:hAnsi="Aptos Narrow"/>
          <w:b/>
          <w:color w:val="000000"/>
          <w:sz w:val="27"/>
        </w:rPr>
        <w:t>FR-008  Manage Incidents and Their Operational Timeline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must create, list, retrieve, update, acknowledge, resolve, and annotate incidents with severity, ownership, affected services, summary, postmortem, timestamps, and append-only timeline events.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Incident APIs use method-aware RBAC, list and detail serializers, service relations, timeline records, and manual or automatic sources. New incident codes use UUID-backed human references instead of lexical read-and-increment allocation. A successful scoped incident detail read acknowledges the operator's matching unread in-app alert notice.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Omitting a code creates a unique INC reference, status changes append timeline evidence, active filters include every non-resolved state, and incident detail returns its ordered event history. The incident read clears only the caller's matching notice. Another operator's row and another incident stay unread.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API records an acknowledgement timestamp but does not assign an on-call rota.</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Validate Alert Rules Against Signals the Target Can Produce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may define threshold, comparator, duration, severity, target service or queue, enabled state, and delivery destination, but a request-derived rule must be refused when its selected service has no request route group.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AlertRule supports error rate, p95 latency, queue depth, SSL days remaining, and uptime metrics. The serializer validates error-rate and p95 targets against the explicit request-route mapping. The only delivery destination is email and in-app.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API, auth, schools, billing, and reports may own request-derived rules; a PostgreSQL request-error rule is rejected by target_service_key; a null target means the whole request surface.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route-group mapping is configuration in code and must advance when new monitored API groups are added.</w:t>
            </w:r>
          </w:p>
        </w:tc>
      </w:tr>
    </w:tbl>
    <w:p>
      <w:pPr>
        <w:pStyle w:val="Heading2"/>
        <w:spacing w:before="220" w:after="120" w:line="240" w:lineRule="auto"/>
        <w:keepNext/>
        <w:pBdr>
          <w:bottom w:val="single" w:sz="8" w:space="5" w:color="355B9D"/>
        </w:pBdr>
      </w:pPr>
      <w:r>
        <w:rPr>
          <w:rFonts w:ascii="Aptos Narrow" w:hAnsi="Aptos Narrow"/>
          <w:b/>
          <w:color w:val="000000"/>
          <w:sz w:val="27"/>
        </w:rPr>
        <w:t>FR-010  Prove an Uninterrupted Service-Scoped Breach Before Firing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duration_sec must mean that consecutive evaluations remained beyond the threshold for the full duration. It must not widen an aggregate window or let traffic from another service mask the selected service.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rule persists breach_started_at. A first breach starts the clock, a clear or unevaluable result resets it, and only elapsed time opens the alert. Error rate and p95 queries filter RequestMetric routes by the target service prefixes.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five-minute rule does not fire at 299 seconds, fires at 300 seconds, and does not fire after a clearing evaluation. Healthy finance traffic cannot dilute a schools-service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Evaluation cadence is one minute, so firing precision is bounded by the scheduler interval.</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Exactly One Firing Alert and Automatic Incident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rule may have at most one firing alert. Concurrent scheduler runs must not create duplicate alerts or automatic incidents for the same breach.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locks the AlertRule row inside a database transaction and the Alert table has a conditional unique constraint for one firing row per rule. The migration resolves older duplicate rows and closes their unused automatic incidents.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Two overlapping evaluators serialize on the same rule, one alert and one automatic incident remain firing, and repeated evaluation creates no second incident or notification dispatch.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 locking requires a transactional database with row-lock support.</w:t>
            </w:r>
          </w:p>
        </w:tc>
      </w:tr>
    </w:tbl>
    <w:p>
      <w:pPr>
        <w:pStyle w:val="Heading2"/>
        <w:spacing w:before="220" w:after="120" w:line="240" w:lineRule="auto"/>
        <w:keepNext/>
        <w:pBdr>
          <w:bottom w:val="single" w:sz="8" w:space="5" w:color="355B9D"/>
        </w:pBdr>
      </w:pPr>
      <w:r>
        <w:rPr>
          <w:rFonts w:ascii="Aptos Narrow" w:hAnsi="Aptos Narrow"/>
          <w:b/>
          <w:color w:val="000000"/>
          <w:sz w:val="27"/>
        </w:rPr>
        <w:t>FR-012  Deliver Every New Health Alarm by Email and In-App Notification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a sustained rule first fires, every active platform operator whose effective permissions include platform.health.update must receive both an in-app notification and an email record.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raises the transactional health.alert_fired event through Module 8. The shared dispatcher writes one notification per recipient per channel, marks in-app rows SENT, queues email rows PENDING after commit, and attaches internal alert and incident correlation metadata.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eligible operator receives exactly two records; email uses the configured Celery retry lifecycle to SENT or FAILED; repeated evaluation sends nothing; missing recipients, templates, or routing are recorded on the incident timeline.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success means provider acceptance, not confirmed inbox arrival. A routing or template failure before an email record exists is logged but has no separate automatic redispatch queue.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Resolve Recovered Alerts and Their Automatic Incidents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current signal no longer breaches, the firing alert must record its final value and resolution time. An automatic incident may resolve only when none of its linked alerts remains firing.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transitions the open alert to resolved and calls the shared automatic-incident resolver. Manual incidents are never closed by that path.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recovered metric resolves its alert once, closes an automatic incident only after every linked alert clears, stamps resolved_at, and appends a resolution timeline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automatic postmortem is generated.</w:t>
            </w:r>
          </w:p>
        </w:tc>
      </w:tr>
    </w:tbl>
    <w:p>
      <w:pPr>
        <w:pStyle w:val="Heading2"/>
        <w:spacing w:before="220" w:after="120" w:line="240" w:lineRule="auto"/>
        <w:keepNext/>
        <w:pBdr>
          <w:bottom w:val="single" w:sz="8" w:space="5" w:color="355B9D"/>
        </w:pBdr>
      </w:pPr>
      <w:r>
        <w:rPr>
          <w:rFonts w:ascii="Aptos Narrow" w:hAnsi="Aptos Narrow"/>
          <w:b/>
          <w:color w:val="000000"/>
          <w:sz w:val="27"/>
        </w:rPr>
        <w:t>FR-014  Correlate Deployments and Reliability Outcomes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Operators must annotate deployments and configuration changes on the Health timeline and inspect incident count, active count, mean time to acknowledge, and mean time to resolve over the reporting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records store version, environment, kind, actor, text, and timestamp. Overview includes in-range annotations. Reliability aggregates incident start, acknowledgement, and resolution timestamps over 30 days.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Only deployments inside the selected overview range appear; MTTA and MTTR omit incidents missing the relevant timestamp; empty samples return no mean rather than zero.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Deployment annotations are operator or integration writes; this module does not infer releases from a provider.</w:t>
            </w:r>
          </w:p>
        </w:tc>
      </w:tr>
    </w:tbl>
    <w:p>
      <w:pPr>
        <w:pStyle w:val="Heading2"/>
        <w:spacing w:before="220" w:after="120" w:line="240" w:lineRule="auto"/>
        <w:keepNext/>
        <w:pBdr>
          <w:bottom w:val="single" w:sz="8" w:space="5" w:color="355B9D"/>
        </w:pBdr>
      </w:pPr>
      <w:r>
        <w:rPr>
          <w:rFonts w:ascii="Aptos Narrow" w:hAnsi="Aptos Narrow"/>
          <w:b/>
          <w:color w:val="000000"/>
          <w:sz w:val="27"/>
        </w:rPr>
        <w:t>FR-015  Expose Tenant Analytics Only to Platform Health Operators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Cross-tenant observability must remain a platform-only capability. Authorized operators may inspect tenant traffic and noisy-neighbour indicators or narrow analytics to one explicit tenant without confusing that filter with the tenant assertion used for authentication.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Health view requires an active authenticated user and platform.health.view or platform.health.create or platform.health.update, according to the method. requested_tenant resolves for_tenant separately from the authentication tenant parameter, rejects unknown targets, and analytics queries filter RequestMetric.</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anonymous caller receives 401; an unauthorized authenticated caller is refused; a valid slug or numeric tenant target returns only that tenant's rows; an unknown target returns 400 instead of silently returning global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 metrics exist only for requests where tenant context was resolved before collection.</w:t>
            </w:r>
          </w:p>
        </w:tc>
      </w:tr>
    </w:tbl>
    <w:p>
      <w:pPr>
        <w:pStyle w:val="Heading2"/>
        <w:spacing w:before="220" w:after="120" w:line="240" w:lineRule="auto"/>
        <w:keepNext/>
        <w:pBdr>
          <w:bottom w:val="single" w:sz="8" w:space="5" w:color="355B9D"/>
        </w:pBdr>
      </w:pPr>
      <w:r>
        <w:rPr>
          <w:rFonts w:ascii="Aptos Narrow" w:hAnsi="Aptos Narrow"/>
          <w:b/>
          <w:color w:val="000000"/>
          <w:sz w:val="27"/>
        </w:rPr>
        <w:t>FR-016  Open One Incident per Configuration Fault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fault found outside the alert engine, such as a school whose books cannot name one primary entity, must reach an operator who can fix it, as exactly one incident however many requests meet it, rather than a logged 500 seen only by a bursar who cannot act on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vs_health.faults.report_configuration_fault opens an automatic incident, INVESTIGATING, at the caller's severity, owner label Configuration check and team Platform, with the summary as its opening timeline note, unless an unresolved incident already carries the same Incident.fault_key. The key names one subject's fault, not the class of fault, and is matched exactly; it is indexed and returned by no serializer, so renaming or re-triaging the incident cannot break the match. The school finance layer is the first reporter: AmbiguousPrimaryEntity, raised when a school holds more than one active tenant-kind ledger entity, is reported at SEV2 under fal.ambiguous-primary-entity.tenant-&lt;id&gt;, naming the school and what to do, and the refusal still answers 500. A fault incident is listed, counted as active on the overview and included in reliability like any other incident.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 that raises three times opens exactly one incident, and two broken schools open one each. A repeat writes neither an incident nor a timeline entry. Resolving lets the next occurrence open a fresh incident. An operator or alert-driven incident, whose key is blank, never satisfies a fault's match, and a blank key is refused. Provisioning reports outside its own transaction, so the incident survives the rollback. A failing reporter changes neither the error nor its message (tests_faults, 8 tests; test_ambiguous_entity_reporting, 13 tests).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fault incident has no alert or rule behind it and sends no notification: it reaches the Health console only, because no configuration-fault event is registered in Module 8. It does not resolve itself when the arrangement is corrected, unlike an alert-driven incident; an operator resolves it. Two requests arriving together can each open 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Request Telemetry</w:t>
      </w:r>
    </w:p>
    <w:tbl>
      <w:tblPr>
        <w:tblW w:type="dxa" w:w="10468"/>
        <w:jc w:val="center"/>
        <w:tblLayout w:type="fixed"/>
        <w:tblLook w:firstColumn="1" w:firstRow="1" w:lastColumn="0" w:lastRow="0" w:noHBand="0" w:noVBand="1" w:val="04A0"/>
      </w:tblPr>
      <w:tblGrid>
        <w:gridCol w:w="864"/>
        <w:gridCol w:w="5040"/>
        <w:gridCol w:w="4564"/>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50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rule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Middleware starts a monotonic timer before the application view.</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Measurement never changes request routing or authorization.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After the response, it resolves the route pattern and optional tenant context.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Unmatched paths and /v1/health/ routes are skipped; raw paths and payloads are never stored.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process-local collector adds response family, latency bucket, and throttling to one minute key.</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thread lock prevents in-process lost updates; recording errors are swallowed.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background flush swaps the buffer and merges each key into the database under a row lock.</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Concurrent workers add to one canonical aggregate row.</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50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Services calculate cards, series, endpoint, and tenant views from selected rows.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Ranges are bounded; small samples cannot claim a status.</w:t>
            </w:r>
          </w:p>
        </w:tc>
      </w:tr>
    </w:tbl>
    <w:p>
      <w:pPr>
        <w:pStyle w:val="Heading2"/>
        <w:spacing w:before="220" w:after="120" w:line="240" w:lineRule="auto"/>
        <w:keepNext/>
        <w:pBdr>
          <w:bottom w:val="single" w:sz="8" w:space="5" w:color="355B9D"/>
        </w:pBdr>
      </w:pPr>
      <w:r>
        <w:rPr>
          <w:rFonts w:ascii="Aptos Narrow" w:hAnsi="Aptos Narrow"/>
          <w:b/>
          <w:color w:val="000000"/>
          <w:sz w:val="27"/>
        </w:rPr>
        <w:t>5.2 Probe, Rollup, and Retention Schedule</w:t>
      </w:r>
    </w:p>
    <w:tbl>
      <w:tblPr>
        <w:tblW w:type="dxa" w:w="10468"/>
        <w:jc w:val="center"/>
        <w:tblLayout w:type="fixed"/>
        <w:tblLook w:firstColumn="1" w:firstRow="1" w:lastColumn="0" w:lastRow="0" w:noHBand="0" w:noVBand="1" w:val="04A0"/>
      </w:tblPr>
      <w:tblGrid>
        <w:gridCol w:w="1944"/>
        <w:gridCol w:w="3528"/>
        <w:gridCol w:w="4996"/>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Cadence</w:t>
            </w:r>
          </w:p>
        </w:tc>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Task</w:t>
            </w:r>
          </w:p>
        </w:tc>
        <w:tc>
          <w:tcPr>
            <w:tcW w:type="dxa" w:w="49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Outcome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Capture queue snapshot</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Queue depth, task outcomes, worker capacity, and trend row</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minute</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alert rules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Breach state, alert and incident lifecycle, and first-fire delivery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five minutes</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uptime checks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Stored probe result and refreshed service or route-group status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Hourly at :15</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Roll up uptime</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uptime percentage, failures, worst status, and response average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Daily at 03:00</w:t>
            </w:r>
          </w:p>
        </w:tc>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Prune metrics</w:t>
            </w:r>
          </w:p>
        </w:tc>
        <w:tc>
          <w:tcPr>
            <w:tcW w:type="dxa" w:w="49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Retention of bounded raw rollups while preserving daily uptime history</w:t>
            </w:r>
          </w:p>
        </w:tc>
      </w:tr>
    </w:tbl>
    <w:p>
      <w:pPr>
        <w:pStyle w:val="Heading2"/>
        <w:spacing w:before="220" w:after="120" w:line="240" w:lineRule="auto"/>
        <w:keepNext/>
        <w:pBdr>
          <w:bottom w:val="single" w:sz="8" w:space="5" w:color="355B9D"/>
        </w:pBdr>
      </w:pPr>
      <w:r>
        <w:rPr>
          <w:rFonts w:ascii="Aptos Narrow" w:hAnsi="Aptos Narrow"/>
          <w:b/>
          <w:color w:val="000000"/>
          <w:sz w:val="27"/>
        </w:rPr>
        <w:t>5.3 Sustained Alert and Delivery</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Evaluation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does not breach or cannot be evaluated.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breach_started_at; resolve an open alert and eligible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value crosses the comparator and threshold.</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breach_started_at; do not fire before duration_sec elapses.</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Sustained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remains breaching for the full duration.</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Under the locked rule row, open one alert and one automatic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First-fire delivery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active platform.health.update holders.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one SENT in-app row and one PENDING email row per recipient; queue email after commit.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retry</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SMTP delivery fails after the row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configured retry count and delay; end in SENT or FAILED with delivery history.</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Repeated breach</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firing alert still exists.</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no duplicate incident or notification.</w:t>
            </w:r>
          </w:p>
        </w:tc>
      </w:tr>
    </w:tbl>
    <w:p>
      <w:pPr>
        <w:pStyle w:val="Heading2"/>
        <w:spacing w:before="220" w:after="120" w:line="240" w:lineRule="auto"/>
        <w:keepNext/>
        <w:pBdr>
          <w:bottom w:val="single" w:sz="8" w:space="5" w:color="355B9D"/>
        </w:pBdr>
      </w:pPr>
      <w:r>
        <w:rPr>
          <w:rFonts w:ascii="Aptos Narrow" w:hAnsi="Aptos Narrow"/>
          <w:b/>
          <w:color w:val="000000"/>
          <w:sz w:val="27"/>
        </w:rPr>
        <w:t>5.4 Configuration Fault</w:t>
      </w:r>
    </w:p>
    <w:tbl>
      <w:tblPr>
        <w:tblW w:type="dxa" w:w="10468"/>
        <w:jc w:val="center"/>
        <w:tblLayout w:type="fixed"/>
        <w:tblLook w:firstColumn="1" w:firstRow="1" w:lastColumn="0" w:lastRow="0" w:noHBand="0" w:noVBand="1" w:val="04A0"/>
      </w:tblPr>
      <w:tblGrid>
        <w:gridCol w:w="1944"/>
        <w:gridCol w:w="3744"/>
        <w:gridCol w:w="4780"/>
      </w:tblGrid>
      <w:tr>
        <w:trPr>
          <w:tblHeader w:val="true"/>
          <w:cantSplit/>
        </w:trPr>
        <w:tc>
          <w:tcPr>
            <w:tcW w:type="dxa" w:w="19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c>
          <w:tcPr>
            <w:tcW w:type="dxa" w:w="374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Condition</w:t>
            </w:r>
          </w:p>
        </w:tc>
        <w:tc>
          <w:tcPr>
            <w:tcW w:type="dxa" w:w="47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Effect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First report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unresolved incident carries the fault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one automatic incident, INVESTIGATING, at the caller's severity, with the opening note on its timeline.</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Repeat</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unresolved incident carries the key.</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Open nothing and append nothing; the caller receives no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Resolved</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resolves the incident.</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The key stops matching, so the next occurrence opens a fresh incident.</w:t>
            </w:r>
          </w:p>
        </w:tc>
      </w:tr>
      <w:tr>
        <w:trPr>
          <w:cantSplit/>
        </w:trPr>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Reporter failure</w:t>
            </w:r>
          </w:p>
        </w:tc>
        <w:tc>
          <w:tcPr>
            <w:tcW w:type="dxa" w:w="37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Reporting raises inside the detecting code.</w:t>
            </w:r>
          </w:p>
        </w:tc>
        <w:tc>
          <w:tcPr>
            <w:tcW w:type="dxa" w:w="47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failure is logged and swallowed; the original refusal reaches the request unchanged.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671"/>
        <w:gridCol w:w="4564"/>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contract</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MonitoredService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operational registry and current state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key; active ordering; optional status-change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RequestMetric</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Minute route/method/tenant request aggregate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bucket tuple; bounded histogram; nullable tenant dimension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Recurring probe configuration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check type, target, interval, region, expected thresholds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UptimeCheckResult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normalized probe outcome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Status, time, code, bounded error text, and probe metadata</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UptimeDailyRollup</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Long-window availability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service/day row with total and failed checks</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QueueSnapshot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Point-in-time broker and worker evidence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Queue/time index and retry-storm state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Manual or automatic operational incident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UUID primary key and UUID-backed unique human code; fault_key, blank for operator and alert incidents, indexed and returned by no serializer</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IncidentEvent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Append-only incident timeline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Kind, actor label, text, and timestamp</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AlertRule</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Threshold, duration, target, severity, and delivery config</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Persisted breach start and email_and_in_app destination</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or resolved instance of one rule breach</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most one firing row per rule; optional incident and service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Timeline annotation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Version, environment, kind, actor, text, and occurrence time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Availability objective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target percentage, rolling days, and active state</w:t>
            </w:r>
          </w:p>
        </w:tc>
      </w:tr>
    </w:tbl>
    <w:p>
      <w:pPr>
        <w:pStyle w:val="Heading2"/>
        <w:spacing w:before="220" w:after="120" w:line="240" w:lineRule="auto"/>
        <w:keepNext/>
        <w:pBdr>
          <w:bottom w:val="single" w:sz="8" w:space="5" w:color="355B9D"/>
        </w:pBdr>
      </w:pPr>
      <w:r>
        <w:rPr>
          <w:rFonts w:ascii="Aptos Narrow" w:hAnsi="Aptos Narrow"/>
          <w:b/>
          <w:color w:val="000000"/>
          <w:sz w:val="27"/>
        </w:rPr>
        <w:t>6.1 Data Safety Decisions</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OPERATIONAL EVIDENCE RULES</w:t>
            </w:r>
          </w:p>
          <w:p>
            <w:pPr>
              <w:spacing w:before="0" w:after="40" w:line="240" w:lineRule="auto"/>
              <w:numPr>
                <w:ilvl w:val="0"/>
                <w:numId w:val="1"/>
              </w:numPr>
            </w:pPr>
            <w:r>
              <w:rPr>
                <w:rFonts w:ascii="Aptos Narrow" w:hAnsi="Aptos Narrow"/>
                <w:b w:val="0"/>
                <w:color w:val="000000"/>
                <w:sz w:val="17"/>
              </w:rPr>
              <w:t>Telemetry stores aggregates and bounded route patterns, not raw request bodies, credentials, or unbounded URLs.</w:t>
            </w:r>
          </w:p>
          <w:p>
            <w:pPr>
              <w:spacing w:before="0" w:after="40" w:line="240" w:lineRule="auto"/>
              <w:numPr>
                <w:ilvl w:val="0"/>
                <w:numId w:val="1"/>
              </w:numPr>
            </w:pPr>
            <w:r>
              <w:rPr>
                <w:rFonts w:ascii="Aptos Narrow" w:hAnsi="Aptos Narrow"/>
                <w:b w:val="0"/>
                <w:color w:val="000000"/>
                <w:sz w:val="17"/>
              </w:rPr>
              <w:t>Incident and notification correlation metadata is internal and does not enter the recipient-facing serializer.</w:t>
            </w:r>
          </w:p>
          <w:p>
            <w:pPr>
              <w:spacing w:before="0" w:after="40" w:line="240" w:lineRule="auto"/>
              <w:numPr>
                <w:ilvl w:val="0"/>
                <w:numId w:val="1"/>
              </w:numPr>
            </w:pPr>
            <w:r>
              <w:rPr>
                <w:rFonts w:ascii="Aptos Narrow" w:hAnsi="Aptos Narrow"/>
                <w:b w:val="0"/>
                <w:color w:val="000000"/>
                <w:sz w:val="17"/>
              </w:rPr>
              <w:t>Seed data is configuration only. Empty telemetry remains empty or unknown, except the per-service uptime defect recorded in FR-006.</w:t>
            </w:r>
          </w:p>
          <w:p>
            <w:pPr>
              <w:spacing w:before="0" w:after="40" w:line="240" w:lineRule="auto"/>
              <w:numPr>
                <w:ilvl w:val="0"/>
                <w:numId w:val="1"/>
              </w:numPr>
            </w:pPr>
            <w:r>
              <w:rPr>
                <w:rFonts w:ascii="Aptos Narrow" w:hAnsi="Aptos Narrow"/>
                <w:b w:val="0"/>
                <w:color w:val="000000"/>
                <w:sz w:val="17"/>
              </w:rPr>
              <w:t>Retention removes old request metrics, check results, and queue snapshots through scheduled policy while daily rollups preserve longer history.</w:t>
            </w:r>
          </w:p>
          <w:p>
            <w:pPr>
              <w:spacing w:before="0" w:after="40" w:line="240" w:lineRule="auto"/>
              <w:numPr>
                <w:ilvl w:val="0"/>
                <w:numId w:val="1"/>
              </w:numPr>
            </w:pPr>
            <w:r>
              <w:rPr>
                <w:rFonts w:ascii="Aptos Narrow" w:hAnsi="Aptos Narrow"/>
                <w:b w:val="0"/>
                <w:color w:val="000000"/>
                <w:sz w:val="17"/>
              </w:rPr>
              <w:t>A configuration-fault incident's fault key is internal: no serializer returns it, so renaming or re-triaging the incident cannot break its deduplication.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Read Surfaces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/v1/health/overview/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Posture, uptime, golden signals, services, request series, deployments, queues, and active incidents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Worst-first active service grid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/v1/health/services/{key}/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service, uptime summary, and ten recent alerts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All service uptime windows, segments, response series, and SSL data</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/v1/health/uptime/monitors/{key}/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uptime monitor or 404</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Endpoint rows, top slow/error routes, and status-code series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/v1/health/api-endpoints/detail/?route=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route's totals, percentiles, histogram, series, and affected tenants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/v1/health/queues/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snapshots, trends, and workers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/v1/health/tasks/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Tracked jobs filtered by status, queue, kind, or for_tenant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list filtered by state or severity; configuration-fault incidents are listed like any other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/v1/health/incidents/reliability/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MTTA, MTTR, incident count, and active count</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/v1/health/incidents/{id}/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detail with timeline; acknowledges the caller's matching in-app alert notice after the scoped read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Firing alerts by default or resolved history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Configured alert rules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/v1/health/alert-rules/{id}/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alert rule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 rows and noisy-neighbour indicators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/v1/health/tenants/{tenant_id}/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tenant's golden signals, series, and endpoints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/v1/health/deployments/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annotations</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/v1/health/slos/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SLO attainment and remaining error budget</w:t>
            </w:r>
          </w:p>
        </w:tc>
      </w:tr>
    </w:tbl>
    <w:p>
      <w:pPr>
        <w:pStyle w:val="Heading2"/>
        <w:spacing w:before="220" w:after="120" w:line="240" w:lineRule="auto"/>
        <w:keepNext/>
        <w:pBdr>
          <w:bottom w:val="single" w:sz="8" w:space="5" w:color="355B9D"/>
        </w:pBdr>
      </w:pPr>
      <w:r>
        <w:rPr>
          <w:rFonts w:ascii="Aptos Narrow" w:hAnsi="Aptos Narrow"/>
          <w:b/>
          <w:color w:val="000000"/>
          <w:sz w:val="27"/>
        </w:rPr>
        <w:t>7.2 Write Surfaces</w:t>
      </w:r>
    </w:p>
    <w:tbl>
      <w:tblPr>
        <w:tblW w:type="dxa" w:w="10468"/>
        <w:jc w:val="center"/>
        <w:tblLayout w:type="fixed"/>
        <w:tblLook w:firstColumn="1" w:firstRow="1" w:lastColumn="0" w:lastRow="0" w:noHBand="0" w:noVBand="1" w:val="04A0"/>
      </w:tblPr>
      <w:tblGrid>
        <w:gridCol w:w="4536"/>
        <w:gridCol w:w="593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endpoint</w:t>
            </w:r>
          </w:p>
        </w:tc>
        <w:tc>
          <w:tcPr>
            <w:tcW w:type="dxa" w:w="59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 a manual incident; code optional; selected service keys validated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/v1/health/incidents/{id}/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incident state, ownership labels, services, narrative, and timestamps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/v1/health/incidents/{id}/events/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Append a validated incident timeline event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/v1/health/alert-rules/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validated rule with the mandatory email and in-app destination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PUT/PATCH /v1/health/alert-rules/{id}/</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thresholds, target, duration, severity, or enabled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/v1/health/deployments/</w:t>
            </w:r>
          </w:p>
        </w:tc>
        <w:tc>
          <w:tcPr>
            <w:tcW w:type="dxa" w:w="59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 deployment, feature-flag, or configuration annotation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7.3 Query and Validation Rules</w:t>
      </w:r>
    </w:p>
    <w:tbl>
      <w:tblPr>
        <w:tblW w:type="dxa" w:w="10468"/>
        <w:jc w:val="center"/>
        <w:tblLayout w:type="fixed"/>
        <w:tblLook w:firstColumn="1" w:firstRow="1" w:lastColumn="0" w:lastRow="0" w:noHBand="0" w:noVBand="1" w:val="04A0"/>
      </w:tblPr>
      <w:tblGrid>
        <w:gridCol w:w="2088"/>
        <w:gridCol w:w="6652"/>
        <w:gridCol w:w="1728"/>
      </w:tblGrid>
      <w:tr>
        <w:trPr>
          <w:tblHeader w:val="true"/>
          <w:cantSplit/>
        </w:trPr>
        <w:tc>
          <w:tcPr>
            <w:tcW w:type="dxa" w:w="20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Input</w:t>
            </w:r>
          </w:p>
        </w:tc>
        <w:tc>
          <w:tcPr>
            <w:tcW w:type="dxa" w:w="66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Failure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range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named window; unknown value falls back to 1h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 unbounded scan</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start and end</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Both valid, start before end, maximum 90 days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Fall back to named range policy</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for_tenant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Resolve slug or numeric id separately from authentication tenant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no tenant matches</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Required for endpoint detail and matched exactly after collection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key</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Stable monitored-service key</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when absent</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alert request metric target</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exist in explicit request-route mapping</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unsupported service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channel</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email_and_in_app</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any other value</w:t>
            </w:r>
          </w:p>
        </w:tc>
      </w:tr>
      <w:tr>
        <w:trPr>
          <w:cantSplit/>
        </w:trPr>
        <w:tc>
          <w:tcPr>
            <w:tcW w:type="dxa" w:w="20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write permission</w:t>
            </w:r>
          </w:p>
        </w:tc>
        <w:tc>
          <w:tcPr>
            <w:tcW w:type="dxa" w:w="66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platform.health.create or platform.health.update, according to the method on unsafe methods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403 when the effective grant is absent</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951"/>
        <w:gridCol w:w="7516"/>
      </w:tblGrid>
      <w:tr>
        <w:trPr>
          <w:tblHeader w:val="true"/>
          <w:cantSplit/>
        </w:trPr>
        <w:tc>
          <w:tcPr>
            <w:tcW w:type="dxa" w:w="29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5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Django middleware and resolver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bounded route patterns, response codes, method, latency, and tenant context after authentication scoping.</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PostgreSQL</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telemetry and configuration, merge metric buckets, lock alert rules, and enforce one firing alert per rule.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beat and workers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five scheduled Health tasks and deliver queued email notifications.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Redis broker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queue depths, Celery inspect data, task transport, and Redis probe evidence.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Publish platform.health.view/create/update and resolve active alarm recipients from effective grants.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 health.alert_fired templates, create recipient-owned in-app and email rows, and retry SMTP delivery. An incident has no frontend notification route, but its authorized API detail read clears the caller's matching row.</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3 Identity &amp; Team</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active platform user records and email addresses.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notification retry settings and runtime environment values.</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External HTTP, TCP, SMTP, payment, and TLS targets</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Answer configured probes within timeout and expose only normalized result metadata.</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core.BackgroundJob</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Provide common job status, actor-independent tenant scope, start/finish times, and failure state.</w:t>
            </w:r>
          </w:p>
        </w:tc>
      </w:tr>
      <w:tr>
        <w:trPr>
          <w:cantSplit/>
        </w:trPr>
        <w:tc>
          <w:tcPr>
            <w:tcW w:type="dxa" w:w="295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19 Finance &amp; Accounting, school finance layer</w:t>
            </w:r>
          </w:p>
        </w:tc>
        <w:tc>
          <w:tcPr>
            <w:tcW w:type="dxa" w:w="75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Reports a school holding more than one active tenant-kind ledger entity (AmbiguousPrimaryEntity) through report_configuration_fault, from the envelope decorator both raise sites share and outside the provisioning transaction, so the incident survives its rollback. One incident per school; the request still answers 500.</w:t>
            </w:r>
          </w:p>
        </w:tc>
      </w:tr>
    </w:tbl>
    <w:p>
      <w:pPr>
        <w:pStyle w:val="Heading2"/>
        <w:spacing w:before="220" w:after="120" w:line="240" w:lineRule="auto"/>
        <w:keepNext/>
        <w:pBdr>
          <w:bottom w:val="single" w:sz="8" w:space="5" w:color="355B9D"/>
        </w:pBdr>
      </w:pPr>
      <w:r>
        <w:rPr>
          <w:rFonts w:ascii="Aptos Narrow" w:hAnsi="Aptos Narrow"/>
          <w:b/>
          <w:color w:val="000000"/>
          <w:sz w:val="27"/>
        </w:rPr>
        <w:t>8.1 Operational Preconditions</w:t>
      </w:r>
    </w:p>
    <w:p>
      <w:pPr>
        <w:numPr>
          <w:ilvl w:val="0"/>
          <w:numId w:val="1"/>
        </w:numPr>
        <w:spacing w:before="0" w:after="40" w:line="240" w:lineRule="auto"/>
      </w:pPr>
      <w:r>
        <w:rPr>
          <w:rFonts w:ascii="Aptos Narrow" w:hAnsi="Aptos Narrow"/>
          <w:b w:val="0"/>
          <w:color w:val="000000"/>
          <w:sz w:val="18"/>
        </w:rPr>
        <w:t>Run seed_health and notification template seeding before relying on probes, alert rules, permissions, SLOs, or alarm templates.</w:t>
      </w:r>
    </w:p>
    <w:p>
      <w:pPr>
        <w:numPr>
          <w:ilvl w:val="0"/>
          <w:numId w:val="1"/>
        </w:numPr>
        <w:spacing w:before="0" w:after="40" w:line="240" w:lineRule="auto"/>
      </w:pPr>
      <w:r>
        <w:rPr>
          <w:rFonts w:ascii="Aptos Narrow" w:hAnsi="Aptos Narrow"/>
          <w:b w:val="0"/>
          <w:color w:val="000000"/>
          <w:sz w:val="18"/>
        </w:rPr>
        <w:t>Assign platform.health.update to at least one active platform operator with a valid email address.</w:t>
      </w:r>
    </w:p>
    <w:p>
      <w:pPr>
        <w:numPr>
          <w:ilvl w:val="0"/>
          <w:numId w:val="1"/>
        </w:numPr>
        <w:spacing w:before="0" w:after="40" w:line="240" w:lineRule="auto"/>
      </w:pPr>
      <w:r>
        <w:rPr>
          <w:rFonts w:ascii="Aptos Narrow" w:hAnsi="Aptos Narrow"/>
          <w:b w:val="0"/>
          <w:color w:val="000000"/>
          <w:sz w:val="18"/>
        </w:rPr>
        <w:t>Run Celery beat and workers, keep the broker reachable, and configure SMTP plus probe targets.</w:t>
      </w:r>
    </w:p>
    <w:p>
      <w:pPr>
        <w:numPr>
          <w:ilvl w:val="0"/>
          <w:numId w:val="1"/>
        </w:numPr>
        <w:spacing w:before="0" w:after="40" w:line="240" w:lineRule="auto"/>
      </w:pPr>
      <w:r>
        <w:rPr>
          <w:rFonts w:ascii="Aptos Narrow" w:hAnsi="Aptos Narrow"/>
          <w:b w:val="0"/>
          <w:color w:val="000000"/>
          <w:sz w:val="18"/>
        </w:rPr>
        <w:t>Treat PENDING email as queued, SENT as provider acceptance, and FAILED as terminal exhaustion of the configured retry budget.</w:t>
      </w:r>
    </w:p>
    <w:p>
      <w:pPr>
        <w:numPr>
          <w:ilvl w:val="0"/>
          <w:numId w:val="1"/>
        </w:numPr>
        <w:spacing w:before="0" w:after="40" w:line="240" w:lineRule="auto"/>
      </w:pPr>
      <w:r>
        <w:rPr>
          <w:rFonts w:ascii="Aptos Narrow" w:hAnsi="Aptos Narrow"/>
          <w:b w:val="0"/>
          <w:color w:val="000000"/>
          <w:sz w:val="18"/>
        </w:rPr>
        <w:t>Monitor the incident timeline for recipient, event, template, routing, or record-count failures that occur before SMTP delivery begins.</w:t>
      </w:r>
    </w:p>
    <w:p>
      <w:pPr>
        <w:numPr>
          <w:ilvl w:val="0"/>
          <w:numId w:val="1"/>
        </w:numPr>
        <w:spacing w:before="0" w:after="40" w:line="240" w:lineRule="auto"/>
      </w:pPr>
      <w:r>
        <w:rPr>
          <w:rFonts w:ascii="Aptos Narrow" w:hAnsi="Aptos Narrow"/>
          <w:b w:val="0"/>
          <w:color w:val="000000"/>
          <w:sz w:val="18"/>
        </w:rPr>
        <w:t>Watch the incident list for configuration faults: they send no notification, and an operator resolves each once its arrangement is corrected.</w:t>
      </w:r>
    </w:p>
    <w:p>
      <w:pPr>
        <w:pStyle w:val="Heading2"/>
        <w:spacing w:before="220" w:after="120" w:line="240" w:lineRule="auto"/>
        <w:keepNext/>
        <w:pBdr>
          <w:bottom w:val="single" w:sz="8" w:space="5" w:color="355B9D"/>
        </w:pBdr>
      </w:pPr>
      <w:r>
        <w:rPr>
          <w:rFonts w:ascii="Aptos Narrow" w:hAnsi="Aptos Narrow"/>
          <w:b/>
          <w:color w:val="000000"/>
          <w:sz w:val="27"/>
        </w:rPr>
        <w:t>8.2 Verification Evidence</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1F7A4D"/>
              <w:left w:val="single" w:sz="9" w:color="1F7A4D"/>
              <w:bottom w:val="single" w:sz="9" w:color="1F7A4D"/>
              <w:right w:val="single" w:sz="9" w:color="1F7A4D"/>
              <w:insideH w:val="single" w:sz="9" w:color="1F7A4D"/>
              <w:insideV w:val="single" w:sz="9" w:color="1F7A4D"/>
            </w:tcBorders>
            <w:shd w:fill="E4F3EA" w:val="clear"/>
            <w:tcMar>
              <w:top w:w="100" w:type="dxa"/>
              <w:left w:w="120" w:type="dxa"/>
              <w:bottom w:w="100" w:type="dxa"/>
              <w:right w:w="120" w:type="dxa"/>
            </w:tcMar>
          </w:tcPr>
          <w:p>
            <w:pPr>
              <w:spacing w:before="0" w:after="60" w:line="240" w:lineRule="auto"/>
            </w:pPr>
            <w:r>
              <w:rPr>
                <w:rFonts w:ascii="Aptos Narrow" w:hAnsi="Aptos Narrow"/>
                <w:b/>
                <w:color w:val="1F7A4D"/>
                <w:sz w:val="18"/>
              </w:rPr>
              <w:t>INSPECTED EVIDENCE</w:t>
              <w:br/>
              <w:t>IncidentReadClearsNotificationTests covers caller ownership, incident matching and the API-only acknowledgement path.</w:t>
            </w:r>
          </w:p>
          <w:p>
            <w:pPr>
              <w:spacing w:before="0" w:after="40" w:line="240" w:lineRule="auto"/>
              <w:numPr>
                <w:ilvl w:val="0"/>
                <w:numId w:val="1"/>
              </w:numPr>
            </w:pPr>
            <w:r>
              <w:rPr>
                <w:rFonts w:ascii="Aptos Narrow" w:hAnsi="Aptos Narrow"/>
                <w:b w:val="0"/>
                <w:color w:val="000000"/>
                <w:sz w:val="17"/>
              </w:rPr>
              <w:t>Module 30 suite: 45 tests passed at fa23e06d, including collection, analytics, small-sample guards, sustained service-scoped alerting, delivery records, incident references, seeding, authentication, tenant filters and the configuration-fault rule (tests_faults, 8 tests).</w:t>
            </w:r>
          </w:p>
          <w:p>
            <w:pPr>
              <w:spacing w:before="0" w:after="40" w:line="240" w:lineRule="auto"/>
              <w:numPr>
                <w:ilvl w:val="0"/>
                <w:numId w:val="1"/>
              </w:numPr>
            </w:pPr>
            <w:r>
              <w:rPr>
                <w:rFonts w:ascii="Aptos Narrow" w:hAnsi="Aptos Narrow"/>
                <w:b w:val="0"/>
                <w:color w:val="000000"/>
                <w:sz w:val="17"/>
              </w:rPr>
              <w:t>schools.core suite: 219 tests passed at fa23e06d, 13 of them test_ambiguous_entity_reporting: one incident per school, survival of the provisioning rollback, and a failing reporter that leaves the refusal unchanged. Neither suite was rerun for this revision.</w:t>
            </w:r>
          </w:p>
          <w:p>
            <w:pPr>
              <w:spacing w:before="0" w:after="40" w:line="240" w:lineRule="auto"/>
              <w:numPr>
                <w:ilvl w:val="0"/>
                <w:numId w:val="1"/>
              </w:numPr>
            </w:pPr>
            <w:r>
              <w:rPr>
                <w:rFonts w:ascii="Aptos Narrow" w:hAnsi="Aptos Narrow"/>
                <w:b w:val="0"/>
                <w:color w:val="000000"/>
                <w:sz w:val="17"/>
              </w:rPr>
              <w:t>Module 8 suite: 107 tests passed, including dispatch, templates, recipient ownership, in-app state, email retry, terminal outcomes, settings, history, and privacy boundaries.</w:t>
            </w:r>
          </w:p>
          <w:p>
            <w:pPr>
              <w:spacing w:before="0" w:after="40" w:line="240" w:lineRule="auto"/>
              <w:numPr>
                <w:ilvl w:val="0"/>
                <w:numId w:val="1"/>
              </w:numPr>
            </w:pPr>
            <w:r>
              <w:rPr>
                <w:rFonts w:ascii="Aptos Narrow" w:hAnsi="Aptos Narrow"/>
                <w:b w:val="0"/>
                <w:color w:val="000000"/>
                <w:sz w:val="17"/>
              </w:rPr>
              <w:t>The suites are backend evidence only. They do not prove live broker, worker, SMTP, external probe, or recipient inbox behavior in a deployment.</w:t>
            </w:r>
          </w:p>
        </w:tc>
      </w:tr>
    </w:tbl>
    <w:p>
      <w:r>
        <w:br w:type="page"/>
      </w:r>
    </w:p>
    <w:p>
      <w:pPr>
        <w:pStyle w:val="Heading2"/>
      </w:pPr>
      <w:r>
        <w:t>Current Functional Contracts</w:t>
      </w:r>
    </w:p>
    <w:p>
      <w:pPr/>
      <w:r>
        <w:t>These contracts state the current behavior at the code baseline and govern where an earlier sentence in this document describes an older rule.</w:t>
      </w:r>
    </w:p>
    <w:p>
      <w:r>
        <w:t>The web metrics flush checks the Celery queue-snapshot heartbeat. Older than five minutes marks Celery CRITICAL, opens one SEV1 incident and notifies platform operators once; recovery clears it. Eager mode is excluded.</w:t>
      </w:r>
    </w:p>
    <w:p>
      <w:pPr>
        <w:pStyle w:val="Heading2"/>
      </w:pPr>
      <w:r>
        <w:t>D83-D102 Current Contracts</w:t>
      </w:r>
    </w:p>
    <w:p>
      <w:pPr/>
      <w:r>
        <w:t>These contracts state current behavior at the committed evidence boundary and replace an earlier sentence wherever the two disagree.</w:t>
      </w:r>
    </w:p>
    <w:p>
      <w:r>
        <w:t>The daily payments held-ledger check records one reconciliation per provider, currency and day. A difference above platform tolerance opens one payments.held-ledger-mismatch incident, notifies CodeX operators once, and the next agreeing check resolves it.</w:t>
      </w:r>
    </w:p>
    <w:p>
      <w:r>
        <w:t>The check depends on the scheduled payments-reconcile-held-ledger task at 07:15 and on accurate provider balance access. Operational health distinguishes a missing schedule, failed provider response and an accounting mismatch.</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520"/>
        <w:gridCol w:w="5760"/>
        <w:gridCol w:w="1180"/>
      </w:tblGrid>
      <w:tr>
        <w:trPr>
          <w:tblHeader w:val="true"/>
          <w:cantSplit/>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7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Unsupported 100 percent uptime claim</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Return unknown or no value from each per-service uptime window when no daily rollup exists, align the monitor list/detail and SLO empty-history contracts, and add regression coverage for a newly seeded service with no check result.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FR-006</w:t>
            </w:r>
          </w:p>
        </w:tc>
      </w:tr>
      <w:tr>
        <w:trPr>
          <w:cantSplit/>
        </w:trP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configuration fault reaches nobody's inbox</w:t>
            </w:r>
          </w:p>
        </w:tc>
        <w:tc>
          <w:tcPr>
            <w:tcW w:type="dxa" w:w="57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Register a configuration-fault event in Module 8 and send it to active platform.health.update holders when a fault incident opens, with a test that the first report notifies and a repeat does not.</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FR-016</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numPr>
                <w:ilvl w:val="0"/>
                <w:numId w:val="1"/>
              </w:numPr>
            </w:pPr>
            <w:r>
              <w:rPr>
                <w:rFonts w:ascii="Aptos Narrow" w:hAnsi="Aptos Narrow"/>
                <w:b w:val="0"/>
                <w:color w:val="000000"/>
                <w:sz w:val="17"/>
              </w:rPr>
              <w:t>Remove the P1 item only after the implementation returns an honest no-data state and the relevant monitor and SLO tests pass, and the P2 item only after a configuration-fault incident notifies its recipients under test.</w:t>
            </w:r>
          </w:p>
          <w:p>
            <w:pPr>
              <w:spacing w:before="0" w:after="40" w:line="240" w:lineRule="auto"/>
              <w:numPr>
                <w:ilvl w:val="0"/>
                <w:numId w:val="1"/>
              </w:numPr>
            </w:pPr>
            <w:r>
              <w:rPr>
                <w:rFonts w:ascii="Aptos Narrow" w:hAnsi="Aptos Narrow"/>
                <w:b w:val="0"/>
                <w:color w:val="000000"/>
                <w:sz w:val="17"/>
              </w:rPr>
              <w:t>Do not infer frontend completion, deployed probes, worker uptime, SMTP delivery, or inbox arrival from backend code evidence.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30 carries 13 capability entries in MRD v2.93. Each maps to the controlling requirements below. Configuration-fault incidents strengthen incident records and events without changing the count.</w:t>
      </w:r>
    </w:p>
    <w:tbl>
      <w:tblPr>
        <w:tblW w:type="dxa" w:w="10468"/>
        <w:jc w:val="center"/>
        <w:tblLayout w:type="fixed"/>
        <w:tblLook w:firstColumn="1" w:firstRow="1" w:lastColumn="0" w:lastRow="0" w:noHBand="0" w:noVBand="1" w:val="04A0"/>
      </w:tblPr>
      <w:tblGrid>
        <w:gridCol w:w="4824"/>
        <w:gridCol w:w="3096"/>
        <w:gridCol w:w="2548"/>
      </w:tblGrid>
      <w:tr>
        <w:trPr>
          <w:tblHeader w:val="true"/>
          <w:cantSplit/>
        </w:trPr>
        <w:tc>
          <w:tcPr>
            <w:tcW w:type="dxa" w:w="48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30 capability</w:t>
            </w:r>
          </w:p>
        </w:tc>
        <w:tc>
          <w:tcPr>
            <w:tcW w:type="dxa" w:w="30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Requirements</w:t>
            </w:r>
          </w:p>
        </w:tc>
        <w:tc>
          <w:tcPr>
            <w:tcW w:type="dxa" w:w="25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System-health overview</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FR-003, FR-005, FR-007, FR-008,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 status and history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FR-001, FR-004, 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Uptime indicators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SSL status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Tenant-filterable API request analytics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Queue and task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FR-007</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Sustained, service-scoped alert rules, active alerts, and email and in-app operator delivery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 FR-010, FR-011, FR-012, FR-013</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Incident records and events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FR-011, FR-013, FR-016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FR-016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Reliability summaries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FR-008, FR-013, 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health</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FR-003, FR-004, FR-015</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Deployment visibility</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Service-level objective tracking</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FR-005, FR-006</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Implemented with FR-006 limit</w:t>
            </w:r>
          </w:p>
        </w:tc>
      </w:tr>
      <w:tr>
        <w:trPr>
          <w:cantSplit/>
        </w:trPr>
        <w:tc>
          <w:tcPr>
            <w:tcW w:type="dxa" w:w="48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Unauthenticated provider-webhook operations</w:t>
            </w:r>
          </w:p>
        </w:tc>
        <w:tc>
          <w:tcPr>
            <w:tcW w:type="dxa" w:w="30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w:t>
            </w:r>
          </w:p>
        </w:tc>
        <w:tc>
          <w:tcPr>
            <w:tcW w:type="dxa" w:w="25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Relocated operation; request health observed without payload capture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 Oct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27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Adds FR-016: a configuration fault found outside the alert engine opens one incident. The school finance layer reports a school holding two active sets of books (AmbiguousPrimaryEntity) through vs_health.faults, from the decorator both raise sites share and outside the provisioning transaction, so the incident survives its rollback. Incident.fault_key (migration 0004) deduplicates: one unresolved incident per fault, a repeat writes nothing, not even a timeline entry, and resolving is how the next occurrence opens a fresh one. Such an incident has no alert or rule behind it, sends no notification and does not resolve itself. Scope, context, actors, workflow, data model, dependencies, Needs Attention and traceability follow, and the fired-alarm recipient is corrected to platform.health.update holders wherever the text still read create or update. Verified against backend fa23e06d, where vs_health ran 45 tests, schools.core 219 and core 161, all passing; not rerun for this revision.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Health writes into platform.health.create and platform.health.update. Fired-alert recipients resolve from active update holders, matching the authority that maintains incidents and alert rules.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successful incident detail API read clears only the caller's matching in-app alert notice. No dedicated frontend incident page exists, and the Health index clears nothing. FR-008, the read route, Module 8 dependency, current decision and evidence boundary are reconciled. Backend and committed frontend evidence only; nothing here claims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30. Records the service registry, request aggregation, tenant filtering, small-sample status policy, probes, uptime rollups, queues, tasks, incidents, deployments, SLOs, sustained service-scoped alerting, email and in-app delivery, recovery, operational dependencies, one current uptime evidence gap, and traceability to MRD v2.43. Backend evidence only; nothing here is deployed.</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when Module 30 behavior, acceptance, permissions, data contracts, APIs, alert or incident lifecycle, notification effects, dependencies, status, or current gaps change. Preserve every prior version.</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System Health &amp; Monitoring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M30 System Health and Monitoring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1.5</cp:version>
  <dc:title>XVS M30 System Health and Monitoring Functional Requirements Document v1.5</dc:title>
  <dc:subject>Code-aligned functional requirements for XVS Module 30</dc:subject>
  <dc:creator>CodeX Team</dc:creator>
</cp:coreProperties>
</file>