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2.99</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2.99</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1 October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main at a21bab36, 1 October 2026. This revision reconciles the committed requirements queue D83 to D102. Uncommitted worktree changes are outside the evidence boundary</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512</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v2.95 Capability Delta</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Two module FRDs reconciled; no capability added</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Documented by M01 FRD v1.31.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Documented by M03 FRD v1.21.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Documented by M04 FRD v1.32.</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Documented by M06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Documented by M07 FRD v1.24.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of every message is the platform's. Documented by M08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v1.13.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Documented by M10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v2.14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Documented by M12 FRD v2.18.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Documented by M19 FRD v1.14.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Documented by M22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Documented by M23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Documented by M26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v1.5.</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v2.99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reconciles committed queue D83 to D102 and the module versions listed below. It expands existing capabilities and closes recorded gaps without changing the platform total of 512 capability entries or the module status model.</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66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v2.95 capability delta</w:t>
            </w:r>
          </w:p>
        </w:tc>
        <w:tc>
          <w:tcPr>
            <w:tcW w:w="19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Decision</w:t>
            </w:r>
          </w:p>
        </w:tc>
        <w:tc>
          <w:tcPr>
            <w:tcW w:w="55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Evidence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profile visibility</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 entry strengthened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member of staff opens any colleague from the chart. The school's policy decides what the person, the line above them through main, acting and dotted posts, and any other colleague read; a reader whose keys reach the person reads as their role allows; the contact card always shows; Field Access stays the ceiling. The count stays at 11.</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Teacher and the directory key</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default changed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Teacher no longer holds school.teachers.view, in the library and every school's native Teacher role (vs_rbac 0030); the profile policy decides what a teacher reads.</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staff record</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/v1/i/me/staff/mine/ finds the caller's record, so a person holding no staff key reaches it, applies for leave and corrects their photograph, middle name, date of birth and phone.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documents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 correction</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document's file asks school.staff_records.view, the key its tab asks; it had opened on the directory key.</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Organogram</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 confirmed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school.organogram sits in Core in the plan map, confirmed by the owner on 28 September 2026. A branch-bound reader's summary counts their branches while the chart stays whole.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FRDs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reconciled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M04 v1.30, M12 v2.15.</w:t>
            </w:r>
          </w:p>
        </w:tc>
      </w:tr>
    </w:tbl>
    <w:p>
      <w:pPr>
        <w:pStyle w:val="Heading2"/>
      </w:pPr>
      <w:r>
        <w:t>Current Capability Contracts</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are external payroll-data confirmation, Paystack field and balance assumptions, delegation edits and expiry not re-placing waiting approvers, incomplete product screens for the new correction flows, and the cross-branch credit-note deferred-income edge case.</w:t>
      </w:r>
    </w:p>
    <w:p>
      <w:pPr>
        <w:pStyle w:val="Heading2"/>
      </w:pPr>
      <w:r>
        <w:t>D83-D102 Current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are external payroll-data confirmation, Paystack field and balance assumptions, delegation edits and expiry not replacing waiting seats, incomplete product screens for new finance correction flows, and the cross-branch credit-note deferred-income edge case.</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2.99</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 Oct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2.98</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 Oct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2.97</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30 Sep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v2.95</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v2.99</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2.99</cp:version>
</cp:coreProperties>
</file>