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correcting set_role_access so a newly requested explicit direct deny is stored and overrides an attached permission-group grant (1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v2.53,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library definitions. provision_role_from_prebuilt copies one into a tenant-owned, locked system role and records access through set_role_access.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migrated school installation contains school_admin and branch_admin without an operator seed step. The seed command converges the complete three-template catalogue, including teacher and access defaults. Adoption remains idempotent, tenant-owned, locked,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Twenty-eight school groups exist, ten of them naming finance and procurement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v2.53 lists Module 4 as Complete with seventeen capability entries, all traced above.</w:t>
              <w:br/>
              <w:t>• A newly submitted direct deny is now stored with granted=False even when no direct permission row existed before. This makes the existing role-deny precedence and durable-audit capabilities true for that case without adding a product surface or changing the count.</w:t>
              <w:br/>
              <w:t>• The MRD needs no new version because its Module 4 capability, state, ownership, dependencies, gaps and build priority do not change.</w:t>
              <w:br/>
              <w:t>• What remains is recorded in Needs Attention, including assignment expiry, two unnarrowed read surfaces, advisory branch reach, the generic platform-decision declaration, prebuilt scope, aggregate seeder scope verification, and privileged MFA.</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dc:subject>Module 4: Roles &amp; Permissions (RBAC)</dc:subject>
  <cp:category>Functional Requirements Document</cp:category>
  <dc:description>Code-aligned functional baseline traced from apps/vs_rbac at 899cfd7.</dc:description>
</cp:coreProperties>
</file>