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2.39</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2.39</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with automatic payout fallback and release health gate (27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484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v2.39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Older payout entities gain an automatic approval route and a release gate</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12</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A record is owned by the tenant of the recipient who reads it, and the tenant an event is about is kept separately as its origin, so a school's support ticket notified to platform staff never enters the school's own delivery history.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v2.39 Documentation Delta</w:t>
      </w:r>
    </w:p>
    <w:p w14:paraId="4C4A5E5A" w14:textId="77777777" w:rsidR="00472341" w:rsidRDefault="00000000">
      <w:pPr>
        <w:spacing w:after="100" w:line="240" w:lineRule="auto" w:before="0"/>
      </w:pPr>
      <w:r>
        <w:rPr>
          <w:rFonts w:ascii="Aptos Narrow" w:hAnsi="Aptos Narrow"/>
          <w:b w:val="0"/>
          <w:color w:val="000000"/>
          <w:sz w:val="18"/>
        </w:rPr>
        <w:t>This revision closes the last provisioning gap in mandatory payout approval. Older active entities now inherit a blocked platform fallback automatically, and a read-only release check names any entity that still cannot resolve a payout ladder.</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v2.39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Pre-provisioning payout entities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Migration 0006 creates the standard two-stage platform fallback only when none exists. Tenant policy still wins through the workflow resolver.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Missing payout ladder</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Fail 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Submission remains unavailable when neither tenant nor platform policy resolves. Request creation rolls back and no provider call is made.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Release visibility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payout_approval_health lists every active ledger entity with no resolvable standard payout template and exits unsuccessfully until none remain.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Approver staffing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Kept separate</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fallback creates no role holders. An unstaffed stage parks, while the existing workflow role-coverage check reports missing appointments.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and Staff Management before dependent modules.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v2.38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v2.38</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2.38</cp:version>
</cp:coreProperties>
</file>