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with transactional, reasoned before-and-after audit for tenant role permissions and permission-group attachments (28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484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v2.40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Role access changes gain complete, transactional audit evidence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12</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v2.40 Documentation Delta</w:t>
      </w:r>
    </w:p>
    <w:p w14:paraId="4C4A5E5A" w14:textId="77777777" w:rsidR="00472341" w:rsidRDefault="00000000">
      <w:pPr>
        <w:spacing w:after="100" w:line="240" w:lineRule="auto" w:before="0"/>
      </w:pPr>
      <w:r>
        <w:rPr>
          <w:rFonts w:ascii="Aptos Narrow" w:hAnsi="Aptos Narrow"/>
          <w:b w:val="0"/>
          <w:color w:val="000000"/>
          <w:sz w:val="18"/>
        </w:rPr>
        <w:t>This revision makes the durable RBAC audit cover every supported role-access mutation, including direct permission and group edits.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v2.40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permission edits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Durable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role is locked, unchanged grants and denies are preserved, and one audit records actor, reason, source, direct grant and deny keys, effective combined keys, and before and after values.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Permission-group attachments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Aggregate before-and-after group IDs replace row signals that could report detachments while bulk-created replacements remained invisible.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Approved restricted changes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Unified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approved request calls the same mutation service and records its justification, reviewer, request ID and final access set.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Provisioned role defaults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Unified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Prebuilt roles, role suggestions and Super Admin permission reconciliation use the same transactional mutation boundary rather than unaudited bulk copies.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2.40</cp:version>
</cp:coreProperties>
</file>