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Working tree, 1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v2.54 | Module 17</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future student and guardian domains. Nothing here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other side of that neutrality is Section 9: nothing yet links a customer to a student.</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fee structure holds fee items as a template. Generation materialises one invoice per selected customer and posts each through the ordinary receivables path, so it raises the usual journal and appears everywhere invoices already do. A structure can also be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second, quieter way for a fee structure to become money owed: generation is the only one, and it uses the same posting service as a hand-raised invoice.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Selection of customers is supplied by the caller; the module has no rule about who should be billed, because that rule belongs to a domain it does not know.</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debits bank or cash and credits the receivable control. Allocation across invoices happens afterwards as a sub-ledger act with no further ledger effect, and can be revisited.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Reallocating does not re-post, so correcting which invoice a receipt settles never disturbs the general ledger. Voiding is a separate, permissioned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dunning policy is a ladder of stages keyed to days overdue. Generation scans open invoices and raises a notice at the highest stage each one qualifies for, idempotent per invoice and level. The notice lifecycle runs pending, sent, cancelled or resolved.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Re-running never re-issues a reminder already sent at that rung. Dunning is a communications overlay and touches no ledger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Aging, the AR reconciliation against the control account, customer statements, and invoice and payment summaries are served as entity-scoped reads. Historical as-of receivables reconstruct balances at a requested date from dated allocations.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as-of view is reconstructed from dated allocations rather than current state, so a question about last month's position is answered with last month's facts.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A repeated run bills nobody twice and reports who was skipped. A student with no AR customer stops the run instead of being dropped from it silently, which is how a school under-bills and never finds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instead of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or altered token is indistinguishable from an unknown one, and both routes are rate-limited.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and the checkout; the page itself is frontend work and is not claimed here.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Becomes money owed only through generation.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bl>
    <w:p w:rsidR="00A62A3E" w:rsidRDefault="00000000">
      <w:pPr>
        <w:pStyle w:val="Heading1"/>
        <w:keepNext/>
        <w:pBdr>
          <w:bottom w:val="single" w:sz="14" w:space="5" w:color="355B9D"/>
        </w:pBdr>
      </w:pPr>
      <w:r>
        <w:t>7. API and Validation Contracts</w:t>
      </w:r>
    </w:p>
    <w:p w:rsidR="00A62A3E" w:rsidRDefault="00000000">
      <w:pPr>
        <w:spacing w:after="120"/>
      </w:pPr>
      <w:r>
        <w:t>All routes are mounted under /v1/finance/ and require an asserted entity, with one deliberate exception: the public pay routes in 7.1 carry no session at all and are authorised by the signed token in the path.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customer's receipt document.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Bulk-raise posted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notices for everything overdue.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and the cohort billing entry point, and is the only way a school module reaches this one. It holds the school vocabulary so this module does not have 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That means a bulk run bills exactly the selection it is given, and a wrong selection is not detectable here.</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17 capability entries in MRD v2.54.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