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2.44</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2.44</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29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worktree, the full 68-test Module 6 run, and the current Module 6 FRD inventory (29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484</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v2.44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Bulk entitlement scheduling preserves explicit decisions and ownership</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15</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12</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The academic structure module exists and is mounted, so the required checklist step it was blocking now has a backend to check against. Versions 2.9 to 2.36 carried the older claim after it had stopped being true.</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OPay, or another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Integration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tc>
          <w:tcPr>
            <w:tcW w:type="dxa" w:w="605"/>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5"/>
              </w:rPr>
              <w:t>P1</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5"/>
              </w:rPr>
              <w:t>Unsupported uptime certainty</w:t>
            </w:r>
          </w:p>
        </w:tc>
        <w:tc>
          <w:tcPr>
            <w:tcW w:type="dxa" w:w="609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5"/>
              </w:rPr>
              <w:t>Return unknown or no value for every per-service uptime window without daily rollup evidence and add empty-history monitor and SLO regression coverage.</w:t>
            </w:r>
          </w:p>
        </w:tc>
        <w:tc>
          <w:tcPr>
            <w:tcW w:type="dxa" w:w="1325"/>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v2.44 Documentation Delta</w:t>
      </w:r>
    </w:p>
    <w:p w14:paraId="4C4A5E5A" w14:textId="77777777" w:rsidR="00472341" w:rsidRDefault="00000000">
      <w:pPr>
        <w:spacing w:after="100" w:line="240" w:lineRule="auto" w:before="0"/>
      </w:pPr>
      <w:r>
        <w:rPr>
          <w:rFonts w:ascii="Aptos Narrow" w:hAnsi="Aptos Narrow"/>
          <w:b w:val="0"/>
          <w:color w:val="000000"/>
          <w:sz w:val="18"/>
        </w:rPr>
        <w:t>This revision closes the bulk entitlement scheduling defect, records the scheduling-only contract, and notes that Module 6 has no detailed FRD yet.</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FFFFFF"/>
                <w:sz w:val="16"/>
              </w:rPr>
              <w:t>v2.44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FFFFFF"/>
                <w:sz w:val="16"/>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FFFFFF"/>
                <w:sz w:val="16"/>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Explicit denials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Protected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A selected DENIED row now rejects bulk scheduling before any target is changed, so the atomic batch cannot restore access accidentally.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Existing ownership</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Preserved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Scheduling updates only the requested dates on an existing grant and retains its PACKAGE, PLATFORM, MANUAL, or IMPORT source.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Module 6 FRD</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Missing</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No Module 6 functional requirements document exists. This MRD records the corrected contract; no new FRD was created automatically.</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payout routing now has an automatic platform fallback and a release check that names any uncovered entity.</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and Staff Management before dependent modules.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v2.44</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v2.44</dc:title>
  <dc:subject>Bulk entitlement scheduling denial and ownership protection</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2.44</cp:version>
</cp:coreProperties>
</file>