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2.11</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2.11</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13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Current backend worktree with uncommitted Module 31 support-context changes (13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405</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5. v2.11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Support-context capability added in this revision</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24</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21</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12</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17</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12</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pPr/>
            <w:r>
              <w:t>11</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seeded per tenant and never auto-skip; wiring the seed into school onboarding remains open.</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published per tenant by command or endpoint. Seeding them during onboarding remains open.</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Add branch and physical-location controls before stock is operated across multiple campuses or stores.</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and seed finance, procurement, and payout workflow templates per school.</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documents, approvals, stock locations, and reporting to the correct branch where required.</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v2.11 Documentation Delta</w:t>
      </w:r>
    </w:p>
    <w:p w14:paraId="4C4A5E5A" w14:textId="77777777" w:rsidR="00472341" w:rsidRDefault="00000000">
      <w:pPr>
        <w:spacing w:after="100" w:line="240" w:lineRule="auto" w:before="0"/>
      </w:pPr>
      <w:r>
        <w:t>This revision records one Module 31 capability addition. Module numbering, status, priority gaps, and recommended build order are unchanged.</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v2.11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Support-ticket product context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Ticket creation can store a guide ID, normalized route pattern, product area, and app version for guide-to-support handoff.</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Privacy boundary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Enforced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Unknown keys, query strings, fragments, and record-bearing numeric route values are rejected. Ticket responses re-allowlist the four approved keys.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Module 31 status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Unchanged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Backend Complete and Integration Complete. Module 31 now records 11 capability entries and the document total is 405.</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and call the per-tenant approval seeds and role provisioning during onboarding rather than by hand.</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2.8</cp:version>
</cp:coreProperties>
</file>