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2.82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21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and console worktrees making permission definitions and shipped defaults backend-owned, with read-only catalogue screens and readable allocation labels, 21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v2.82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Permission definitions are backend-owned and readable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roles, templates, assignments, and controlled overrides. Modules, resources, actions, permissions, dependencies, shipped groups and prebuilt roles are reconciled in backend code and exposed read-only to the console with readable labels. Custom tenant roles and personal grants or denies remain supported allocation controls.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 or group change records its actor, reason, source, approval reference where applicable, and complete before-and-after access configuration in the same transaction.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Global permission definitions and shipped defaults have one write boundary: backend seeders. The console reads the ordered catalogue, builds custom roles from it and applies personal exceptions, but it cannot create, rename or delete the definitions themselves. Legacy registry-write keys are deactivated without deleting their history.</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232 staff tests. Documented by M12 FRD v2.6 and built from the Staff Management design of 30 August 2026.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manage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v2.82 Capability Delta</w:t>
      </w:r>
    </w:p>
    <w:p w14:paraId="4C4A5E5A" w14:textId="77777777" w:rsidR="00472341" w:rsidRDefault="00000000">
      <w:pPr>
        <w:spacing w:after="100" w:line="240" w:lineRule="auto" w:before="0"/>
      </w:pPr>
      <w:r>
        <w:rPr>
          <w:rFonts w:ascii="Aptos Narrow" w:hAnsi="Aptos Narrow"/>
          <w:b w:val="0"/>
          <w:color w:val="000000"/>
          <w:sz w:val="18"/>
        </w:rPr>
        <w:t>This revision adds one workflow capability: every registered document type supplies a validated built-in decision layout, frozen at submission and returned with a separate source-document link. Summaries stay concise; details extend them without repeating identity or headline facts, using reasons, line items and permission deltas where needed. Requesters and frozen approvers can read the instance they participate in, while another authenticated user receives 404. Module 7 moves from 27 to 28 entries and the platform moves from 502 to 503.</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655"/>
        <w:gridCol w:w="5832"/>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v2.82 capability delta</w:t>
            </w:r>
          </w:p>
        </w:tc>
        <w:tc>
          <w:tcPr>
            <w:tcW w:w="1656"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83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Permission-definition ownership</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only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Seeders own modules, resources, actions, permissions, dependencies, permission groups and prebuilt roles. Stored models remain because authorization and grants reference them.</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Global registry API</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only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definition collection and detail accepts GET. POST, PUT, PATCH and DELETE return 405 under one platform.permissions.view gate.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Registry overview</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show_access_registry prints definitions in module, resource and action order and includes default groups and prebuilt roles; JSON and module filters support review and automation.</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Readable allocation</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Backend labelled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Permission, dependency and personal-exception responses carry readable labels. The console no longer asks an operator to interpret dotted keys.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Custom tenant roles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Preserved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administrator may still create a custom role and allocate backend-defined permissions and groups through the existing controls.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exceptions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Preserved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grants and denies remain available with their existing scope, restricted-key, reason, expiry and self-edit controls.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Registry write permissions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Retired reversibly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Fresh databases receive only platform.permissions.view. Existing create, update, manage and delete rows are marked inactive so historical relationships are not cascade-deleted.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v2.82</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v2.82</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2.82</cp:version>
</cp:coreProperties>
</file>