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7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v2.53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v2.66, with nineteen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Queued from inside the savepoint, it handed the worker an invitation id the database had not published, so a worker that started first sent nothing while the administrator link already read SENT, and a creation that rolled back afterwards could still email an activation link for an account that no longer existed.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records the subscription expiry, and grants every module at the depth that plan reaches.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enabled_modules list a client still sends is accepted and narrows nothing, so a frontend that has not caught up keeps working. PackagePlan carries no capacity columns, and branch_ceiling_refusal is removed from both paths by which a School gains a site.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including one the client did not name,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its depth per module, the bands each depth reaches, and whether the plan default, a plan exception or an uplift decided 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an uplift, returning the module to the depth its plan pays for.</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v2.50 to the controlling functional requirement in this FRD. All eighteen entries remain represented. Transactional proxy shutdown strengthens the existing status and lifecycle capability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1.20</cp:version>
</cp:coreProperties>
</file>