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2.68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2.68</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7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giving the console a school's plan: what it is on, why each module sits at its depth, and the two ways to change it. A platform actor can now configure a school that has not gone live (7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489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v2.68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A school's plan on a page, and the console unblocked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left"/>
            </w:pPr>
            <w:r>
              <w:rPr>
                <w:rFonts w:ascii="Aptos Narrow" w:hAnsi="Aptos Narrow"/>
                <w:b w:val="0"/>
                <w:color w:val="000000"/>
                <w:sz w:val="17"/>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left"/>
            </w:pPr>
            <w:r>
              <w:rPr>
                <w:rFonts w:ascii="Aptos Narrow" w:hAnsi="Aptos Narrow"/>
                <w:b w:val="0"/>
                <w:color w:val="000000"/>
                <w:sz w:val="17"/>
              </w:rPr>
              <w:t>20</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left"/>
            </w:pPr>
            <w:r>
              <w:rPr>
                <w:rFonts w:ascii="Aptos Narrow" w:hAnsi="Aptos Narrow"/>
                <w:b w:val="0"/>
                <w:color w:val="000000"/>
                <w:sz w:val="17"/>
              </w:rPr>
              <w:t>25</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the fourth site she had planned for months. All four are removed and size is priced rather than fenced, which leaves the depth wall as the only thing that moves a school up a tier.</w:t>
              <w:br/>
              <w:t>• Nothing yet prices it. The plan carries no rate, no floor and no billing unit, and no term headcount is taken from the student register, so what a school is charged is still decided outside the platform.</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Invitations name the inviter and tenant workspace and explain their seven-day, one-time link. Password-reset mail now names the account and workspace, distinguishes self-service from an administrator request, and reports the exact expiry from the reset row instead of a hard-coded duration.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br/>
              <w:t>• Bulk scheduling changes dates without rewriting an existing entitlement decision. An explicit denial rejects the whole batch, existing grants keep their source, and only a target with no row is created as a manual grant.</w:t>
              <w:br/>
              <w:t>• A module is sold whole and used in slices. The catalogue is two levels deep: a module is what a school holds, and a band is that module cut at Core, Plus or Advanced. A band is never granted on its own; it answers when the depth on its module's grant reaches it, so moving a feature between bands is one field on one row and every school sees it on the next request, with nothing rewritten per tenant. A grant that names no depth reaches every band, which is what every grant written before depth existed means and why a missing depth cannot be read as the shallowest one.</w:t>
              <w:br/>
              <w:t>• An uplift given for a deal is a row of its own, with its own dates. Ending it on the entitlement would end the grant rather than the uplift, taking the whole module away instead of returning the school to the tier it actually pays for. It only ever adds, so a school that upgrades past an old uplift is not demoted by a row nobody deleted.</w:t>
              <w:br/>
              <w:t>• A capability can now be retired without being deleted. The catalogue could add and update but never archive, so a row that stopped describing anything sellable stayed active for ever. Vendors was the first: it was a module, then briefly a Core band of Procurement, and a second Core band beside Procurement's own was a distinction nothing could act on, because a school reaching one always reached the other. Its keys moved to Procurement's Core band and the row is archived, not removed, since entitlements, overrides and audit history point at it.</w:t>
              <w:br/>
              <w:t>• Three more capability rows are retired. The platform module's generic bands held no permission keys and structurally never would, because that module's keys live in named siblings at the same depth: email alerts at Core, bulk import and data export at Plus. An empty band is not by itself a reason to retire one, and the seeder now records the difference: Attendance, Gradebook and the portals have empty bands because nobody has built them, and those are the price list's shape for what is coming.</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v2.68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the console catching up with the gate. A school's plan can be read and changed, an operator can configure a school before it goes live, and three capability rows that could never hold a key are retired.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v2.67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Keys that gated two depths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Split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Exams left the class timetable's keys, staff qualifications left the register's, promotion left the key that transfers one child, and spend analysis left the key for a category insight.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Grants across a split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migration copied every role grant, group grant, prebuilt default and personal override onto the new key, denies included, so nobody lost access to something they could do the day before.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permission-to-band map</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Drawn and seeded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410 keys answered: 125 Core, 144 Plus, 31 Advanced, 63 platform-only and 9 that must never be banded because they are role decisions.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enforcement switch</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scope only, so a school cannot disable its own gate. A school with no package grants is unprovisioned rather than unentitled and is never refused.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 already trading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onto their plan</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existing school now holds grants carrying its plan's depth and its subscription expiry, so the wall is real rather than latent.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Vendors as a module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Folded into Procurement's Core band and archived. Two capability rows at the same depth of one module can never be told apart.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depth</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Off the price list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How many rounds a ladder has describes a school's own shape, and is workflow configuration rather than anything a permission key can gate.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What a school pays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Still not built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rate, no floor, no billing unit and no term headcount. Depth decides what a school reaches; nothing yet decides its invoice.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v2.68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v2.68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2.68</cp:version>
</cp:coreProperties>
</file>