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1.25</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29 October 2026, including the Area D school settings Field Access changes. Frontend evidence is limited to the corresponding school-fe working tree; neither deployment nor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2.116</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pStyle w:val="Heading2"/>
        <w:keepNext/>
        <w:pBdr>
          <w:bottom w:val="single" w:sz="8" w:space="5" w:color="355B9D"/>
        </w:pBdr>
      </w:pPr>
      <w:r>
        <w:t>FR-027  Guide the Chart, Gate Hand Journals, and Settle Receivables Clearly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FR-027  Guide the Chart, Gate Hand Journals, and Settle Receivables Clearly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Explain the chart of accounts, separate school-managed and system-managed rows, allocate safe codes, route hand journals explicitly, and keep payroll, receivable, and held-credit totals truthful.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Chart guide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Every default account has a one-line purpose back-filled only where description is blank. The chart shows code, name, and tags; detail exposes readable description from an info icon. Every account read carries managed_by or null. Zero-balance managed accounts fold under Managed by the system; a readable nonzero balance moves the row into the main chart. A hidden balance is treated as zero, and hidden managed_by produces the single chart.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Account creation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POST /finance/accounts/ may take account_type without code and allocates ten above the highest free code for that type, skipping every default and mapping-reserved code. The next-code preview and suggestions routes require finance.account.create. Generic suggestions come from finance and school suggestions from the FAL. Choosing a reserved code names the kept system account and the next free code, including on bank and petty-cash splits.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Journal approval</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Each school owns a finance.journal route with no steps until configured. A direct or human-posted draft journal answers APPROVAL_NOT_CONFIGURED until explicitly confirmed without approval; once steps exist it posts only after workflow approval. Journals raised by invoices, receipts, and payroll remain governed by their source.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Payroll and balances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 draft payslip includes its own line once in YTD; other runs count only when posted or paid. Budget headlines count the plan's one direction. Owing and credit remain separate. Receipt account balance uses owing, in credit, or zero wording without a sign convention.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Held credit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At the same branch and under auto_apply_customer_credit, receipt credit settles a newly posted debit note and eligible held credit settles only bills reopened by voiding a receipt, credit note, concession, refund, or credit transfer. Credit-note credit never settles a debit note. A closed period skips the pairing without blocking the void. Receivable-move voids are excluded.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Field Access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finance.account.managed_by and ifrs_line apply end to end; claimant and pay figures remain as documented; virtual-account values on staff invoices use the payments resource. The refund bank_account request name is Write-only under its existing switch.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Credit held at another branch deliberately remains beside the bill. Invoice posting still fails if held credit cannot be applied in a closed period; voiding does not. The real family-transfer flow remains unproved on staging.</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pPr>
        <w:pStyle w:val="Heading2"/>
      </w:pPr>
      <w:r>
        <w:t>Current Field Access Contract at 25 October 2026</w:t>
      </w:r>
    </w:p>
    <w:p>
      <w:r>
        <w:t>The AP reconciliation served by Procurement has a read-only finance.report.ap_reconciliation switch. Subledger total, control total, difference and reconciliation verdict disappear together when a role cannot read that switch. Other finance report fields keep their existing controls; no new posting or ledger rule is implied.</w:t>
      </w:r>
    </w:p>
    <w:p>
      <w:pPr/>
      <w:r>
        <w:t>Current Field Access contract: the school-owned payroll-scope setting has its own school.settings Read and Write decisions. A writer still needs the existing school-wide reach, and the finance guard still refuses a per-branch choice that would leave an active employee without a branch. This change does not alter payroll posting or finance.settings switches.</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r>
        <w:tc>
          <w:tcPr>
            <w:tcW w:type="dxa" w:w="6000"/>
          </w:tcPr>
          <w:p>
            <w:r>
              <w:t>Chart guidance, hand journals, and held credit</w:t>
            </w:r>
          </w:p>
        </w:tc>
        <w:tc>
          <w:tcPr>
            <w:tcW w:type="dxa" w:w="4468"/>
          </w:tcPr>
          <w:p>
            <w:r>
              <w:t>FR-027</w:t>
            </w:r>
          </w:p>
        </w:tc>
      </w:tr>
    </w:tbl>
    <w:p w:rsidR="00A62A3E" w:rsidRDefault="00000000">
      <w:pPr>
        <w:keepLines/>
        <w:spacing w:after="120"/>
      </w:pPr>
      <w:r>
        <w:t>All 26 entries are traced above. Module number, name, phase, backend and in-use states and code ownership agree with MRD v2.114,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tc>
          <w:tcPr>
            <w:tcW w:type="dxa" w:w="1200"/>
          </w:tcPr>
          <w:p>
            <w:r>
              <w:t>1.25</w:t>
            </w:r>
          </w:p>
        </w:tc>
        <w:tc>
          <w:tcPr>
            <w:tcW w:type="dxa" w:w="1600"/>
          </w:tcPr>
          <w:p>
            <w:r>
              <w:t>29 October 2026</w:t>
            </w:r>
          </w:p>
        </w:tc>
        <w:tc>
          <w:tcPr>
            <w:tcW w:type="dxa" w:w="7668"/>
          </w:tcPr>
          <w:p>
            <w:r>
              <w:t>Area D school settings Field Access contract. Separate per-setting decisions, always-readable vocabulary and display values, partial writes, and affected module behavior. Aligns with MRD v2.116.</w:t>
            </w:r>
          </w:p>
        </w:tc>
      </w:tr>
      <w:tr>
        <w:tc>
          <w:tcPr>
            <w:tcW w:type="dxa" w:w="1200"/>
          </w:tcPr>
          <w:p>
            <w:r>
              <w:t>1.24</w:t>
            </w:r>
          </w:p>
        </w:tc>
        <w:tc>
          <w:tcPr>
            <w:tcW w:type="dxa" w:w="1600"/>
          </w:tcPr>
          <w:p>
            <w:r>
              <w:t>26 October 2026</w:t>
            </w:r>
          </w:p>
        </w:tc>
        <w:tc>
          <w:tcPr>
            <w:tcW w:type="dxa" w:w="7668"/>
          </w:tcPr>
          <w:p>
            <w:r>
              <w:t>Reconciles chart guidance, managed accounts, code allocation, hand-journal approval, YTD, held credit, and receipt balances. Aligns with MRD v2.115.</w:t>
            </w:r>
          </w:p>
        </w:tc>
      </w:tr>
      <w:tr>
        <w:tc>
          <w:tcPr>
            <w:tcW w:type="dxa" w:w="1200"/>
          </w:tcPr>
          <w:p>
            <w:r>
              <w:t>1.23</w:t>
            </w:r>
          </w:p>
        </w:tc>
        <w:tc>
          <w:tcPr>
            <w:tcW w:type="dxa" w:w="1600"/>
          </w:tcPr>
          <w:p>
            <w:r>
              <w:t>25 October 2026</w:t>
            </w:r>
          </w:p>
        </w:tc>
        <w:tc>
          <w:tcPr>
            <w:tcW w:type="dxa" w:w="7668"/>
          </w:tcPr>
          <w:p>
            <w:r>
              <w:t>Records the Area C Field Access contract for the module and aligns traceability with MRD v2.114. Backend and local frontend evidence only.</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1.24</cp:version>
</cp:coreProperties>
</file>